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79ACFD0E" w:rsidR="00D5544D" w:rsidRPr="00D5544D" w:rsidRDefault="00C34B97"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w:t>
            </w:r>
            <w:r w:rsidR="00F80728">
              <w:rPr>
                <w:rFonts w:asciiTheme="majorHAnsi" w:hAnsiTheme="majorHAnsi"/>
                <w:color w:val="1598D9" w:themeColor="accent2"/>
                <w:sz w:val="36"/>
                <w:szCs w:val="36"/>
              </w:rPr>
              <w:t>-</w:t>
            </w:r>
            <w:r w:rsidR="00A10FFA">
              <w:rPr>
                <w:rFonts w:asciiTheme="majorHAnsi" w:hAnsiTheme="majorHAnsi"/>
                <w:color w:val="1598D9" w:themeColor="accent2"/>
                <w:sz w:val="36"/>
                <w:szCs w:val="36"/>
              </w:rPr>
              <w:t xml:space="preserve"> </w:t>
            </w:r>
            <w:r w:rsidR="00B17E62">
              <w:rPr>
                <w:rFonts w:asciiTheme="majorHAnsi" w:hAnsiTheme="majorHAnsi"/>
                <w:color w:val="1598D9" w:themeColor="accent2"/>
                <w:sz w:val="36"/>
                <w:szCs w:val="36"/>
              </w:rPr>
              <w:t>Vosges</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C34B97"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356DB9F3">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215BA618" w:rsidR="00837091" w:rsidRDefault="00B17E62" w:rsidP="008F2F62">
            <w:pPr>
              <w:pStyle w:val="Corpsdetexte"/>
              <w:spacing w:before="120" w:after="0"/>
              <w:jc w:val="center"/>
            </w:pPr>
            <w:r>
              <w:rPr>
                <w:noProof/>
              </w:rPr>
              <w:drawing>
                <wp:inline distT="0" distB="0" distL="0" distR="0" wp14:anchorId="53FFB551" wp14:editId="13DBD306">
                  <wp:extent cx="1468105" cy="1252636"/>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6"/>
                          </a:xfrm>
                          <a:prstGeom prst="rect">
                            <a:avLst/>
                          </a:prstGeom>
                        </pic:spPr>
                      </pic:pic>
                    </a:graphicData>
                  </a:graphic>
                </wp:inline>
              </w:drawing>
            </w:r>
          </w:p>
          <w:p w14:paraId="5FD54401" w14:textId="06E1E259" w:rsidR="00A10FFA" w:rsidRPr="00A10FFA" w:rsidRDefault="00B17E62" w:rsidP="00A10FFA">
            <w:pPr>
              <w:pStyle w:val="Corpsdetexte"/>
              <w:spacing w:before="120" w:after="0"/>
              <w:jc w:val="center"/>
              <w:rPr>
                <w:b/>
                <w:bCs/>
              </w:rPr>
            </w:pPr>
            <w:r>
              <w:rPr>
                <w:b/>
                <w:bCs/>
              </w:rPr>
              <w:t>Vosges</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B17E62" w:rsidRPr="008F2F62" w14:paraId="5EC92056"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0E63DF97"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362 886 (- 0,5 %)</w:t>
            </w:r>
          </w:p>
        </w:tc>
        <w:tc>
          <w:tcPr>
            <w:tcW w:w="907" w:type="dxa"/>
            <w:tcBorders>
              <w:top w:val="nil"/>
              <w:left w:val="nil"/>
              <w:bottom w:val="single" w:sz="4" w:space="0" w:color="D2D2D2"/>
              <w:right w:val="nil"/>
            </w:tcBorders>
            <w:shd w:val="clear" w:color="000000" w:fill="FFFFFF"/>
            <w:noWrap/>
            <w:vAlign w:val="center"/>
            <w:hideMark/>
          </w:tcPr>
          <w:p w14:paraId="13942E9A" w14:textId="21E981B8"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6,5 %</w:t>
            </w:r>
          </w:p>
        </w:tc>
        <w:tc>
          <w:tcPr>
            <w:tcW w:w="1510" w:type="dxa"/>
            <w:vMerge w:val="restart"/>
            <w:tcBorders>
              <w:top w:val="nil"/>
              <w:left w:val="nil"/>
              <w:bottom w:val="nil"/>
              <w:right w:val="nil"/>
            </w:tcBorders>
            <w:shd w:val="clear" w:color="000000" w:fill="D9D9D9"/>
            <w:vAlign w:val="center"/>
            <w:hideMark/>
          </w:tcPr>
          <w:p w14:paraId="36CC82F7" w14:textId="641D4A12" w:rsidR="00B17E62" w:rsidRPr="008F2F62" w:rsidRDefault="00B17E62" w:rsidP="00B17E62">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B17E62" w:rsidRPr="008F2F62" w14:paraId="78CE9338"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3BE1D6B7"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119 362 (- 0,3 %)</w:t>
            </w:r>
          </w:p>
        </w:tc>
        <w:tc>
          <w:tcPr>
            <w:tcW w:w="907" w:type="dxa"/>
            <w:tcBorders>
              <w:top w:val="nil"/>
              <w:left w:val="nil"/>
              <w:bottom w:val="single" w:sz="4" w:space="0" w:color="D2D2D2"/>
              <w:right w:val="nil"/>
            </w:tcBorders>
            <w:shd w:val="clear" w:color="000000" w:fill="FFFFFF"/>
            <w:noWrap/>
            <w:vAlign w:val="center"/>
            <w:hideMark/>
          </w:tcPr>
          <w:p w14:paraId="11BB692E" w14:textId="58BEB9E1"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6,2 %</w:t>
            </w:r>
          </w:p>
        </w:tc>
        <w:tc>
          <w:tcPr>
            <w:tcW w:w="1510" w:type="dxa"/>
            <w:vMerge/>
            <w:tcBorders>
              <w:top w:val="nil"/>
              <w:left w:val="nil"/>
              <w:bottom w:val="nil"/>
              <w:right w:val="nil"/>
            </w:tcBorders>
            <w:vAlign w:val="center"/>
            <w:hideMark/>
          </w:tcPr>
          <w:p w14:paraId="5DBEB910" w14:textId="77777777" w:rsidR="00B17E62" w:rsidRPr="008F2F62" w:rsidRDefault="00B17E62" w:rsidP="00B17E62">
            <w:pPr>
              <w:spacing w:line="240" w:lineRule="auto"/>
              <w:rPr>
                <w:rFonts w:ascii="Century Gothic" w:eastAsia="Times New Roman" w:hAnsi="Century Gothic" w:cs="Times New Roman"/>
                <w:b/>
                <w:bCs/>
                <w:color w:val="FFFFFF"/>
                <w:szCs w:val="20"/>
                <w:lang w:eastAsia="fr-FR"/>
              </w:rPr>
            </w:pPr>
          </w:p>
        </w:tc>
      </w:tr>
      <w:tr w:rsidR="00B17E62" w:rsidRPr="008F2F62" w14:paraId="6C3DD9D7"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692F9EB1"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8 972 (- 0,5 %)</w:t>
            </w:r>
          </w:p>
        </w:tc>
        <w:tc>
          <w:tcPr>
            <w:tcW w:w="907" w:type="dxa"/>
            <w:tcBorders>
              <w:top w:val="nil"/>
              <w:left w:val="nil"/>
              <w:bottom w:val="single" w:sz="4" w:space="0" w:color="D2D2D2"/>
              <w:right w:val="nil"/>
            </w:tcBorders>
            <w:shd w:val="clear" w:color="000000" w:fill="FFFFFF"/>
            <w:noWrap/>
            <w:vAlign w:val="center"/>
            <w:hideMark/>
          </w:tcPr>
          <w:p w14:paraId="38A28D55" w14:textId="74ED739A"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6,9 %</w:t>
            </w:r>
          </w:p>
        </w:tc>
        <w:tc>
          <w:tcPr>
            <w:tcW w:w="1510" w:type="dxa"/>
            <w:vMerge/>
            <w:tcBorders>
              <w:top w:val="nil"/>
              <w:left w:val="nil"/>
              <w:bottom w:val="nil"/>
              <w:right w:val="nil"/>
            </w:tcBorders>
            <w:vAlign w:val="center"/>
            <w:hideMark/>
          </w:tcPr>
          <w:p w14:paraId="4F14CE5E" w14:textId="77777777" w:rsidR="00B17E62" w:rsidRPr="008F2F62" w:rsidRDefault="00B17E62" w:rsidP="00B17E62">
            <w:pPr>
              <w:spacing w:line="240" w:lineRule="auto"/>
              <w:rPr>
                <w:rFonts w:ascii="Century Gothic" w:eastAsia="Times New Roman" w:hAnsi="Century Gothic" w:cs="Times New Roman"/>
                <w:b/>
                <w:bCs/>
                <w:color w:val="FFFFFF"/>
                <w:szCs w:val="20"/>
                <w:lang w:eastAsia="fr-FR"/>
              </w:rPr>
            </w:pPr>
          </w:p>
        </w:tc>
      </w:tr>
      <w:tr w:rsidR="00B17E62" w:rsidRPr="008F2F62" w14:paraId="340F9EA3"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3C73476E"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431 092 (+ 0,0 %)</w:t>
            </w:r>
          </w:p>
        </w:tc>
        <w:tc>
          <w:tcPr>
            <w:tcW w:w="907" w:type="dxa"/>
            <w:tcBorders>
              <w:top w:val="nil"/>
              <w:left w:val="nil"/>
              <w:bottom w:val="single" w:sz="4" w:space="0" w:color="D2D2D2"/>
              <w:right w:val="nil"/>
            </w:tcBorders>
            <w:shd w:val="clear" w:color="000000" w:fill="FFFFFF"/>
            <w:noWrap/>
            <w:vAlign w:val="center"/>
            <w:hideMark/>
          </w:tcPr>
          <w:p w14:paraId="2B98A726" w14:textId="59FA8EAB"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8,7 %</w:t>
            </w:r>
          </w:p>
        </w:tc>
        <w:tc>
          <w:tcPr>
            <w:tcW w:w="1510" w:type="dxa"/>
            <w:vMerge/>
            <w:tcBorders>
              <w:top w:val="nil"/>
              <w:left w:val="nil"/>
              <w:bottom w:val="nil"/>
              <w:right w:val="nil"/>
            </w:tcBorders>
            <w:vAlign w:val="center"/>
            <w:hideMark/>
          </w:tcPr>
          <w:p w14:paraId="1A5117ED" w14:textId="77777777" w:rsidR="00B17E62" w:rsidRPr="008F2F62" w:rsidRDefault="00B17E62" w:rsidP="00B17E62">
            <w:pPr>
              <w:spacing w:line="240" w:lineRule="auto"/>
              <w:rPr>
                <w:rFonts w:ascii="Century Gothic" w:eastAsia="Times New Roman" w:hAnsi="Century Gothic" w:cs="Times New Roman"/>
                <w:b/>
                <w:bCs/>
                <w:color w:val="FFFFFF"/>
                <w:szCs w:val="20"/>
                <w:lang w:eastAsia="fr-FR"/>
              </w:rPr>
            </w:pPr>
          </w:p>
        </w:tc>
      </w:tr>
      <w:tr w:rsidR="00B17E62" w:rsidRPr="008F2F62" w14:paraId="7AA4AF07"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44FE1082"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200 101 t</w:t>
            </w:r>
          </w:p>
        </w:tc>
        <w:tc>
          <w:tcPr>
            <w:tcW w:w="907" w:type="dxa"/>
            <w:tcBorders>
              <w:top w:val="nil"/>
              <w:left w:val="nil"/>
              <w:bottom w:val="single" w:sz="4" w:space="0" w:color="D2D2D2"/>
              <w:right w:val="nil"/>
            </w:tcBorders>
            <w:shd w:val="clear" w:color="000000" w:fill="FFFFFF"/>
            <w:noWrap/>
            <w:vAlign w:val="center"/>
            <w:hideMark/>
          </w:tcPr>
          <w:p w14:paraId="4B25611E" w14:textId="6ED698EF"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7,7 %</w:t>
            </w:r>
          </w:p>
        </w:tc>
        <w:tc>
          <w:tcPr>
            <w:tcW w:w="1510" w:type="dxa"/>
            <w:vMerge/>
            <w:tcBorders>
              <w:top w:val="nil"/>
              <w:left w:val="nil"/>
              <w:bottom w:val="nil"/>
              <w:right w:val="nil"/>
            </w:tcBorders>
            <w:vAlign w:val="center"/>
            <w:hideMark/>
          </w:tcPr>
          <w:p w14:paraId="740B901D" w14:textId="77777777" w:rsidR="00B17E62" w:rsidRPr="008F2F62" w:rsidRDefault="00B17E62" w:rsidP="00B17E62">
            <w:pPr>
              <w:spacing w:line="240" w:lineRule="auto"/>
              <w:rPr>
                <w:rFonts w:ascii="Century Gothic" w:eastAsia="Times New Roman" w:hAnsi="Century Gothic" w:cs="Times New Roman"/>
                <w:b/>
                <w:bCs/>
                <w:color w:val="FFFFFF"/>
                <w:szCs w:val="20"/>
                <w:lang w:eastAsia="fr-FR"/>
              </w:rPr>
            </w:pPr>
          </w:p>
        </w:tc>
      </w:tr>
      <w:tr w:rsidR="00B17E62" w:rsidRPr="008F2F62" w14:paraId="4CADD36E" w14:textId="77777777" w:rsidTr="00B17E62">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13E1CD32"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71 %</w:t>
            </w:r>
          </w:p>
        </w:tc>
        <w:tc>
          <w:tcPr>
            <w:tcW w:w="907" w:type="dxa"/>
            <w:tcBorders>
              <w:top w:val="nil"/>
              <w:left w:val="nil"/>
              <w:bottom w:val="single" w:sz="4" w:space="0" w:color="D2D2D2"/>
              <w:right w:val="nil"/>
            </w:tcBorders>
            <w:shd w:val="clear" w:color="000000" w:fill="FFFFFF"/>
            <w:noWrap/>
            <w:vAlign w:val="center"/>
            <w:hideMark/>
          </w:tcPr>
          <w:p w14:paraId="5252CA16" w14:textId="343EC8EF"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B17E62" w:rsidRPr="008F2F62" w:rsidRDefault="00B17E62" w:rsidP="00B17E62">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B17E62" w:rsidRPr="008F2F62" w14:paraId="50CB4E74" w14:textId="77777777" w:rsidTr="00B17E62">
        <w:trPr>
          <w:trHeight w:val="270"/>
        </w:trPr>
        <w:tc>
          <w:tcPr>
            <w:tcW w:w="4706" w:type="dxa"/>
            <w:tcBorders>
              <w:top w:val="nil"/>
              <w:left w:val="nil"/>
              <w:bottom w:val="nil"/>
              <w:right w:val="nil"/>
            </w:tcBorders>
            <w:shd w:val="clear" w:color="000000" w:fill="FFFFFF"/>
            <w:noWrap/>
            <w:vAlign w:val="center"/>
            <w:hideMark/>
          </w:tcPr>
          <w:p w14:paraId="43950DBC" w14:textId="05127F27" w:rsidR="00B17E62" w:rsidRPr="008F2F62" w:rsidRDefault="00B17E62" w:rsidP="00B17E6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48799E2B" w:rsidR="00B17E62" w:rsidRPr="00B17E62" w:rsidRDefault="00B17E62" w:rsidP="00B17E62">
            <w:pPr>
              <w:spacing w:line="240" w:lineRule="auto"/>
              <w:jc w:val="center"/>
              <w:rPr>
                <w:rFonts w:ascii="Century Gothic" w:eastAsia="Times New Roman" w:hAnsi="Century Gothic" w:cs="Times New Roman"/>
                <w:b/>
                <w:bCs/>
                <w:color w:val="1598D9" w:themeColor="accent2"/>
                <w:szCs w:val="20"/>
                <w:lang w:eastAsia="fr-FR"/>
              </w:rPr>
            </w:pPr>
            <w:r w:rsidRPr="00B17E62">
              <w:rPr>
                <w:b/>
                <w:bCs/>
                <w:color w:val="1598D9" w:themeColor="accent2"/>
              </w:rPr>
              <w:t>9 %</w:t>
            </w:r>
          </w:p>
        </w:tc>
        <w:tc>
          <w:tcPr>
            <w:tcW w:w="907" w:type="dxa"/>
            <w:tcBorders>
              <w:top w:val="nil"/>
              <w:left w:val="nil"/>
              <w:bottom w:val="nil"/>
              <w:right w:val="nil"/>
            </w:tcBorders>
            <w:shd w:val="clear" w:color="000000" w:fill="FFFFFF"/>
            <w:noWrap/>
            <w:vAlign w:val="center"/>
            <w:hideMark/>
          </w:tcPr>
          <w:p w14:paraId="5C8EDE1F" w14:textId="6065F90C" w:rsidR="00B17E62" w:rsidRPr="00B17E62" w:rsidRDefault="00B17E62" w:rsidP="00B17E62">
            <w:pPr>
              <w:spacing w:line="240" w:lineRule="auto"/>
              <w:jc w:val="center"/>
              <w:rPr>
                <w:rFonts w:ascii="Century Gothic" w:eastAsia="Times New Roman" w:hAnsi="Century Gothic" w:cs="Times New Roman"/>
                <w:b/>
                <w:bCs/>
                <w:color w:val="005293" w:themeColor="accent1"/>
                <w:szCs w:val="20"/>
                <w:lang w:eastAsia="fr-FR"/>
              </w:rPr>
            </w:pPr>
            <w:r w:rsidRPr="00B17E62">
              <w:rPr>
                <w:b/>
                <w:bCs/>
                <w:color w:val="005293" w:themeColor="accent1"/>
              </w:rPr>
              <w:t>10 %</w:t>
            </w:r>
          </w:p>
        </w:tc>
        <w:tc>
          <w:tcPr>
            <w:tcW w:w="1510" w:type="dxa"/>
            <w:vMerge/>
            <w:tcBorders>
              <w:top w:val="nil"/>
              <w:left w:val="nil"/>
              <w:bottom w:val="nil"/>
              <w:right w:val="nil"/>
            </w:tcBorders>
            <w:vAlign w:val="center"/>
            <w:hideMark/>
          </w:tcPr>
          <w:p w14:paraId="6FEC216D" w14:textId="77777777" w:rsidR="00B17E62" w:rsidRPr="008F2F62" w:rsidRDefault="00B17E62" w:rsidP="00B17E62">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1CB815D5">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5D2A538F">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3BD48438">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62E12811">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EA5565" w14:textId="5B4586CB" w:rsidR="00F80728" w:rsidRDefault="00F80728" w:rsidP="002C6D1C">
      <w:pPr>
        <w:pStyle w:val="Corpsdetexte"/>
      </w:pPr>
      <w:r>
        <w:rPr>
          <w:noProof/>
        </w:rPr>
        <w:lastRenderedPageBreak/>
        <w:drawing>
          <wp:anchor distT="0" distB="0" distL="114300" distR="114300" simplePos="0" relativeHeight="251658240" behindDoc="0" locked="0" layoutInCell="1" allowOverlap="1" wp14:anchorId="4DC33E20" wp14:editId="72CAF834">
            <wp:simplePos x="0" y="0"/>
            <wp:positionH relativeFrom="margin">
              <wp:align>left</wp:align>
            </wp:positionH>
            <wp:positionV relativeFrom="paragraph">
              <wp:posOffset>13335</wp:posOffset>
            </wp:positionV>
            <wp:extent cx="3619500" cy="20097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C690402" w14:textId="156EEB4C" w:rsidR="002C6D1C" w:rsidRDefault="002C6D1C" w:rsidP="002C6D1C">
      <w:pPr>
        <w:pStyle w:val="Corpsdetexte"/>
      </w:pPr>
      <w:r>
        <w:t xml:space="preserve">Le nombre de salariés sur le département est en légère baisse entre 2019 et 2020, ce qui s’explique par la crise sanitaire de 2020, </w:t>
      </w:r>
      <w:r w:rsidR="00F80728">
        <w:t>la tendance étant à la hausse depuis 2014</w:t>
      </w:r>
      <w:r>
        <w:t>.</w:t>
      </w:r>
    </w:p>
    <w:p w14:paraId="4D3DC810" w14:textId="77AEF4DB" w:rsidR="002C6D1C" w:rsidRDefault="002C6D1C" w:rsidP="002C6D1C">
      <w:pPr>
        <w:pStyle w:val="Corpsdetexte"/>
      </w:pPr>
      <w:r>
        <w:t>Le</w:t>
      </w:r>
      <w:r w:rsidR="002E6D32">
        <w:t xml:space="preserve"> nombre de</w:t>
      </w:r>
      <w:r>
        <w:t xml:space="preserve"> salariés du BTP </w:t>
      </w:r>
      <w:r w:rsidR="002E6D32">
        <w:t>est</w:t>
      </w:r>
      <w:r>
        <w:t xml:space="preserve"> en augmentation, mais reste minoritaire au regard du tertiaire et de l'industrie.</w:t>
      </w: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3A7FB668">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19303129" w:rsidR="007A79F6" w:rsidRDefault="00D134E0" w:rsidP="00D134E0">
      <w:pPr>
        <w:pStyle w:val="Corpsdetexte"/>
        <w:rPr>
          <w:noProof/>
        </w:rPr>
      </w:pPr>
      <w:r w:rsidRPr="00D134E0">
        <w:t>Entre</w:t>
      </w:r>
      <w:r>
        <w:rPr>
          <w:noProof/>
        </w:rPr>
        <w:t xml:space="preserve"> 2019 et 2020, on note une </w:t>
      </w:r>
      <w:r w:rsidR="00B17E62">
        <w:rPr>
          <w:b/>
          <w:bCs/>
          <w:noProof/>
        </w:rPr>
        <w:t>augmentation</w:t>
      </w:r>
      <w:r w:rsidRPr="007774C7">
        <w:rPr>
          <w:b/>
          <w:bCs/>
          <w:noProof/>
        </w:rPr>
        <w:t xml:space="preserve"> d</w:t>
      </w:r>
      <w:r w:rsidR="007774C7" w:rsidRPr="007774C7">
        <w:rPr>
          <w:b/>
          <w:bCs/>
          <w:noProof/>
        </w:rPr>
        <w:t xml:space="preserve">e </w:t>
      </w:r>
      <w:r w:rsidR="00B17E62">
        <w:rPr>
          <w:b/>
          <w:bCs/>
          <w:noProof/>
        </w:rPr>
        <w:t>7</w:t>
      </w:r>
      <w:r w:rsidR="007774C7" w:rsidRPr="007774C7">
        <w:rPr>
          <w:b/>
          <w:bCs/>
          <w:noProof/>
        </w:rPr>
        <w:t> </w:t>
      </w:r>
      <w:r w:rsidR="00B17E62">
        <w:rPr>
          <w:b/>
          <w:bCs/>
          <w:noProof/>
        </w:rPr>
        <w:t>3</w:t>
      </w:r>
      <w:r w:rsidR="007774C7" w:rsidRPr="007774C7">
        <w:rPr>
          <w:b/>
          <w:bCs/>
          <w:noProof/>
        </w:rPr>
        <w:t>00 t</w:t>
      </w:r>
      <w:r w:rsidR="007774C7">
        <w:rPr>
          <w:noProof/>
        </w:rPr>
        <w:t xml:space="preserve"> d</w:t>
      </w:r>
      <w:r>
        <w:rPr>
          <w:noProof/>
        </w:rPr>
        <w:t xml:space="preserve">es tonnages de DAEndni entrant en installation des traitement. </w:t>
      </w:r>
      <w:r w:rsidR="00B17E62">
        <w:rPr>
          <w:noProof/>
        </w:rPr>
        <w:t>Les Vosges sont le seul département qui voit une augmentation des tonnages entrant en isntallation de traitement, ce qui peut s’expliquer par la représentation plus importante de l’industrie du papier et donc des tonnages de déchets de papiers et cartons.</w:t>
      </w:r>
    </w:p>
    <w:p w14:paraId="20EF8911" w14:textId="5CB573CF"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B17E62">
        <w:t>467</w:t>
      </w:r>
      <w:r w:rsidR="009D7D3D">
        <w:t xml:space="preserve"> 000 t en 2019. </w:t>
      </w:r>
      <w:r w:rsidR="003A2A23">
        <w:rPr>
          <w:noProof/>
        </w:rPr>
        <w:t xml:space="preserve">En ajoutant les évolutions observées sur les tonnages de DAE assimilés aux déchets ménagers (- </w:t>
      </w:r>
      <w:r w:rsidR="00B17E62">
        <w:rPr>
          <w:noProof/>
        </w:rPr>
        <w:t>1</w:t>
      </w:r>
      <w:r w:rsidR="00F80728">
        <w:rPr>
          <w:noProof/>
        </w:rPr>
        <w:t xml:space="preserve"> 200</w:t>
      </w:r>
      <w:r w:rsidR="000D1D70">
        <w:rPr>
          <w:noProof/>
        </w:rPr>
        <w:t xml:space="preserve"> t</w:t>
      </w:r>
      <w:r w:rsidR="003A2A23">
        <w:rPr>
          <w:noProof/>
        </w:rPr>
        <w:t>) ainsi que sur les tonnages de DAEndni gérés directement par les producteurs (</w:t>
      </w:r>
      <w:r w:rsidR="00F80728">
        <w:rPr>
          <w:noProof/>
        </w:rPr>
        <w:t>-</w:t>
      </w:r>
      <w:r w:rsidR="000D1D70">
        <w:rPr>
          <w:noProof/>
        </w:rPr>
        <w:t xml:space="preserve"> </w:t>
      </w:r>
      <w:r w:rsidR="00F80728">
        <w:rPr>
          <w:noProof/>
        </w:rPr>
        <w:t>4</w:t>
      </w:r>
      <w:r w:rsidR="00B17E62">
        <w:rPr>
          <w:noProof/>
        </w:rPr>
        <w:t>1 7</w:t>
      </w:r>
      <w:r w:rsidR="00F80728">
        <w:rPr>
          <w:noProof/>
        </w:rPr>
        <w:t>0</w:t>
      </w:r>
      <w:r w:rsidR="00083DF2">
        <w:rPr>
          <w:noProof/>
        </w:rPr>
        <w:t>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B17E62">
        <w:rPr>
          <w:b/>
          <w:bCs/>
          <w:noProof/>
        </w:rPr>
        <w:t xml:space="preserve">431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7591D051"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B17E62">
        <w:rPr>
          <w:b/>
          <w:bCs/>
        </w:rPr>
        <w:t>200</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0746A34C">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38CE7266"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w:t>
      </w:r>
      <w:r w:rsidR="00B17E62">
        <w:t xml:space="preserve">, à savoir une implantation </w:t>
      </w:r>
      <w:r w:rsidR="0020641F">
        <w:t>marquée de l’industrie papetière et du bois, qui se traduit par une part plus importante de déchets de papiers et de bois que la part régionale</w:t>
      </w:r>
      <w:r w:rsidR="00026AB8" w:rsidRPr="00026AB8">
        <w:t>.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3BF35D12">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024659CE">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401DBD" w14:textId="3215278F" w:rsidR="0020641F" w:rsidRDefault="0020641F" w:rsidP="008166BC">
      <w:pPr>
        <w:pStyle w:val="Corpsdetexte"/>
      </w:pPr>
      <w:r w:rsidRPr="0020641F">
        <w:t>La répartition départementale des tonnages par mode de valorisation est très proche de la répartition régionale.</w:t>
      </w:r>
    </w:p>
    <w:p w14:paraId="6B750034" w14:textId="264FB3E4" w:rsidR="0020641F" w:rsidRDefault="0020641F" w:rsidP="008166BC">
      <w:pPr>
        <w:pStyle w:val="Corpsdetexte"/>
      </w:pPr>
      <w:r>
        <w:rPr>
          <w:noProof/>
        </w:rPr>
        <w:drawing>
          <wp:anchor distT="0" distB="0" distL="114300" distR="114300" simplePos="0" relativeHeight="251659264" behindDoc="0" locked="0" layoutInCell="1" allowOverlap="1" wp14:anchorId="49B212A5" wp14:editId="5FEFD447">
            <wp:simplePos x="0" y="0"/>
            <wp:positionH relativeFrom="margin">
              <wp:align>left</wp:align>
            </wp:positionH>
            <wp:positionV relativeFrom="paragraph">
              <wp:posOffset>1270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47582C92" w14:textId="15F6A7D9" w:rsidR="0020641F" w:rsidRDefault="0020641F" w:rsidP="008166BC">
      <w:pPr>
        <w:pStyle w:val="Corpsdetexte"/>
      </w:pPr>
    </w:p>
    <w:p w14:paraId="0DABEF19" w14:textId="77777777" w:rsidR="0020641F" w:rsidRDefault="0020641F" w:rsidP="008166BC">
      <w:pPr>
        <w:pStyle w:val="Corpsdetexte"/>
      </w:pPr>
    </w:p>
    <w:p w14:paraId="3B95C898" w14:textId="2495EA71" w:rsidR="008166BC" w:rsidRDefault="008166BC" w:rsidP="008166BC">
      <w:pPr>
        <w:pStyle w:val="Corpsdetexte"/>
      </w:pPr>
      <w:r>
        <w:t xml:space="preserve">Entre 2019 et 2020, on note une tendance à </w:t>
      </w:r>
      <w:r w:rsidR="0020641F">
        <w:t>la hausse sur la valorisation organique et l’élimination, au détriment de la valorisation énergétique</w:t>
      </w:r>
      <w:r>
        <w:t>.</w:t>
      </w:r>
    </w:p>
    <w:sectPr w:rsidR="008166BC"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6B5CB45E" w:rsidR="002D7D62" w:rsidRPr="00DD2940" w:rsidRDefault="00B17E62" w:rsidP="002D7D62">
                          <w:pPr>
                            <w:rPr>
                              <w:color w:val="EBEBEB" w:themeColor="background2"/>
                              <w:sz w:val="72"/>
                            </w:rPr>
                          </w:pPr>
                          <w:r>
                            <w:rPr>
                              <w:color w:val="EBEBEB" w:themeColor="background2"/>
                              <w:sz w:val="72"/>
                            </w:rPr>
                            <w:t>Vosges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6B5CB45E" w:rsidR="002D7D62" w:rsidRPr="00DD2940" w:rsidRDefault="00B17E62" w:rsidP="002D7D62">
                    <w:pPr>
                      <w:rPr>
                        <w:color w:val="EBEBEB" w:themeColor="background2"/>
                        <w:sz w:val="72"/>
                      </w:rPr>
                    </w:pPr>
                    <w:r>
                      <w:rPr>
                        <w:color w:val="EBEBEB" w:themeColor="background2"/>
                        <w:sz w:val="72"/>
                      </w:rPr>
                      <w:t>Vosges</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09D33"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3" type="#_x0000_t75" style="width:45.8pt;height:53.3pt" o:bullet="t">
        <v:imagedata r:id="rId1" o:title="Puce"/>
      </v:shape>
    </w:pict>
  </w:numPicBullet>
  <w:numPicBullet w:numPicBulletId="1">
    <w:pict>
      <v:shape id="_x0000_i1354" type="#_x0000_t75" style="width:45.8pt;height:53.3pt" o:bullet="t">
        <v:imagedata r:id="rId2" o:title="Puce_Bleue"/>
      </v:shape>
    </w:pict>
  </w:numPicBullet>
  <w:numPicBullet w:numPicBulletId="2">
    <w:pict>
      <v:shape id="_x0000_i1355"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0641F"/>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C2A8D"/>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E62"/>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4B97"/>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80728"/>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Vosges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0748956731825091E-2"/>
                  <c:y val="-6.4712748138188454E-1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24457</c:v>
                </c:pt>
                <c:pt idx="1">
                  <c:v>7385</c:v>
                </c:pt>
                <c:pt idx="2">
                  <c:v>85947</c:v>
                </c:pt>
                <c:pt idx="3">
                  <c:v>1573</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0.59869951965314872</c:v>
                </c:pt>
                <c:pt idx="1">
                  <c:v>0.58405657145364465</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9.9416165091820247E-2</c:v>
                </c:pt>
                <c:pt idx="1">
                  <c:v>0.12724102498415391</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0.1197514033527817</c:v>
                </c:pt>
                <c:pt idx="1">
                  <c:v>9.108937375617239E-2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0.18213291190224934</c:v>
                </c:pt>
                <c:pt idx="1">
                  <c:v>0.19761302980602902</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Vosges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1097</c:v>
                </c:pt>
                <c:pt idx="1">
                  <c:v>1227</c:v>
                </c:pt>
                <c:pt idx="2">
                  <c:v>6547</c:v>
                </c:pt>
                <c:pt idx="3">
                  <c:v>101</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25055</c:v>
                </c:pt>
                <c:pt idx="1">
                  <c:v>24457</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7199</c:v>
                </c:pt>
                <c:pt idx="1">
                  <c:v>7385</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87651</c:v>
                </c:pt>
                <c:pt idx="1">
                  <c:v>85947</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1588</c:v>
                </c:pt>
                <c:pt idx="1">
                  <c:v>1573</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121493</c:v>
                </c:pt>
                <c:pt idx="1">
                  <c:v>119362</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26824.86</c:v>
                </c:pt>
                <c:pt idx="1">
                  <c:v>31985.200000000001</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c:v>
                </c:pt>
                <c:pt idx="1">
                  <c:v>0</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57826.650612437428</c:v>
                </c:pt>
                <c:pt idx="1">
                  <c:v>48591.069264875863</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5754.731693658211</c:v>
                </c:pt>
                <c:pt idx="1">
                  <c:v>5007.3574695618217</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29984.735252343227</c:v>
                </c:pt>
                <c:pt idx="1">
                  <c:v>37345.715201518986</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Lbl>
              <c:idx val="0"/>
              <c:layout>
                <c:manualLayout>
                  <c:x val="-0.1022620330599175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3-48D2-BC40-4C2C7D60B7D3}"/>
                </c:ext>
              </c:extLst>
            </c:dLbl>
            <c:dLbl>
              <c:idx val="1"/>
              <c:layout>
                <c:manualLayout>
                  <c:x val="-9.811136376449364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Synthèse!$F$252:$G$252</c:f>
              <c:numCache>
                <c:formatCode>#\ ###\ ##0_-\t</c:formatCode>
                <c:ptCount val="2"/>
                <c:pt idx="0">
                  <c:v>552.14</c:v>
                </c:pt>
                <c:pt idx="1">
                  <c:v>322.86</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elete val="1"/>
          </c:dLbls>
          <c:cat>
            <c:numRef>
              <c:f>Synthèse!$F$246:$G$246</c:f>
              <c:numCache>
                <c:formatCode>General</c:formatCode>
                <c:ptCount val="2"/>
                <c:pt idx="0">
                  <c:v>2019</c:v>
                </c:pt>
                <c:pt idx="1">
                  <c:v>2020</c:v>
                </c:pt>
              </c:numCache>
            </c:numRef>
          </c:cat>
          <c:val>
            <c:numRef>
              <c:f>Synthèse!$F$253:$G$253</c:f>
              <c:numCache>
                <c:formatCode>#\ ###\ ##0_-\t</c:formatCode>
                <c:ptCount val="2"/>
                <c:pt idx="0">
                  <c:v>0</c:v>
                </c:pt>
                <c:pt idx="1">
                  <c:v>0</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36123.615197901738</c:v>
                </c:pt>
                <c:pt idx="1">
                  <c:v>34093.523446124702</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8158.27</c:v>
                </c:pt>
                <c:pt idx="1">
                  <c:v>11131.45</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13415.696819999999</c:v>
                </c:pt>
                <c:pt idx="1">
                  <c:v>17445.233499999998</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178640.69957634062</c:v>
                </c:pt>
                <c:pt idx="1">
                  <c:v>185922.40888208139</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0"/>
        <c:delete val="1"/>
      </c:legendEntry>
      <c:legendEntry>
        <c:idx val="3"/>
        <c:delete val="1"/>
      </c:legendEntry>
      <c:legendEntry>
        <c:idx val="5"/>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Synthèse!$H$293:$I$293</c:f>
              <c:numCache>
                <c:formatCode>0%</c:formatCode>
                <c:ptCount val="2"/>
                <c:pt idx="0">
                  <c:v>0.15993281647022983</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Vosges</c:v>
                </c:pt>
                <c:pt idx="1">
                  <c:v>Grand Est</c:v>
                </c:pt>
              </c:strCache>
            </c:strRef>
          </c:cat>
          <c:val>
            <c:numRef>
              <c:f>Synthèse!$H$294:$I$294</c:f>
              <c:numCache>
                <c:formatCode>0%</c:formatCode>
                <c:ptCount val="2"/>
                <c:pt idx="0">
                  <c:v>1.0029790704777306E-3</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Synthèse!$H$295:$I$295</c:f>
              <c:numCache>
                <c:formatCode>0%</c:formatCode>
                <c:ptCount val="2"/>
                <c:pt idx="0">
                  <c:v>0.24331754271985204</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Synthèse!$H$296:$I$296</c:f>
              <c:numCache>
                <c:formatCode>0%</c:formatCode>
                <c:ptCount val="2"/>
                <c:pt idx="0">
                  <c:v>2.5260640230072014E-2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Synthèse!$H$297:$I$297</c:f>
              <c:numCache>
                <c:formatCode>0%</c:formatCode>
                <c:ptCount val="2"/>
                <c:pt idx="0">
                  <c:v>0.18781873154355921</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Synthèse!$H$300:$I$300</c:f>
              <c:numCache>
                <c:formatCode>0%</c:formatCode>
                <c:ptCount val="2"/>
                <c:pt idx="0">
                  <c:v>0.18613712006354347</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Synthèse!$H$302:$I$302</c:f>
              <c:numCache>
                <c:formatCode>0%</c:formatCode>
                <c:ptCount val="2"/>
                <c:pt idx="0">
                  <c:v>5.914072440693937E-2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Synthèse!$H$303:$I$303</c:f>
              <c:numCache>
                <c:formatCode>0%</c:formatCode>
                <c:ptCount val="2"/>
                <c:pt idx="0">
                  <c:v>0.13577160312738487</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Vosges</c:v>
                </c:pt>
                <c:pt idx="1">
                  <c:v>Grand Est</c:v>
                </c:pt>
              </c:strCache>
            </c:strRef>
          </c:cat>
          <c:val>
            <c:numRef>
              <c:f>Synthèse!$H$304:$I$304</c:f>
              <c:numCache>
                <c:formatCode>0.0%</c:formatCode>
                <c:ptCount val="2"/>
                <c:pt idx="0">
                  <c:v>0</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Vosges</c:v>
                      </c:pt>
                      <c:pt idx="1">
                        <c:v>Grand Est</c:v>
                      </c:pt>
                    </c:strCache>
                  </c:strRef>
                </c:cat>
                <c:val>
                  <c:numRef>
                    <c:extLst>
                      <c:ext uri="{02D57815-91ED-43cb-92C2-25804820EDAC}">
                        <c15:formulaRef>
                          <c15:sqref>Synthèse!$H$298:$I$298</c15:sqref>
                        </c15:formulaRef>
                      </c:ext>
                    </c:extLst>
                    <c:numCache>
                      <c:formatCode>0.0%</c:formatCode>
                      <c:ptCount val="2"/>
                      <c:pt idx="0">
                        <c:v>1.6134840056063453E-3</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Vosges</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4.3583623351586263E-6</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Vosges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Vosges</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0.58405657145364465</c:v>
                </c:pt>
                <c:pt idx="1">
                  <c:v>0.12724102498415391</c:v>
                </c:pt>
                <c:pt idx="2">
                  <c:v>9.108937375617239E-2</c:v>
                </c:pt>
                <c:pt idx="3">
                  <c:v>0.19761302980602902</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Props1.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2.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4.xml><?xml version="1.0" encoding="utf-8"?>
<ds:datastoreItem xmlns:ds="http://schemas.openxmlformats.org/officeDocument/2006/customXml" ds:itemID="{C0020386-8827-4A58-B63F-0F5A961E96B8}">
  <ds:schemaRefs>
    <ds:schemaRef ds:uri="http://schemas.openxmlformats.org/package/2006/metadata/core-properties"/>
    <ds:schemaRef ds:uri="http://www.w3.org/XML/1998/namespace"/>
    <ds:schemaRef ds:uri="http://purl.org/dc/elements/1.1/"/>
    <ds:schemaRef ds:uri="http://schemas.microsoft.com/office/2006/documentManagement/types"/>
    <ds:schemaRef ds:uri="f62a26c4-aace-4fc9-80a7-ab28e1be8723"/>
    <ds:schemaRef ds:uri="http://purl.org/dc/dcmitype/"/>
    <ds:schemaRef ds:uri="66095bee-5dc8-457d-bf6f-f80c5fc40eda"/>
    <ds:schemaRef ds:uri="http://schemas.microsoft.com/office/infopath/2007/PartnerControls"/>
    <ds:schemaRef ds:uri="4a3adf83-4159-48c2-b191-a10bc88d810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853</Words>
  <Characters>4692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4</cp:revision>
  <dcterms:created xsi:type="dcterms:W3CDTF">2022-08-05T13:51:00Z</dcterms:created>
  <dcterms:modified xsi:type="dcterms:W3CDTF">2022-08-22T12:13:00Z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