
<file path=[Content_Types].xml><?xml version="1.0" encoding="utf-8"?>
<Types xmlns="http://schemas.openxmlformats.org/package/2006/content-types">
  <Default Extension="jfif"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C781C" w:rsidRDefault="008F7158" w:rsidP="00270770">
      <w:pPr>
        <w:pStyle w:val="Titre"/>
        <w:pBdr>
          <w:bottom w:val="single" w:sz="12" w:space="9" w:color="B2A1C7"/>
        </w:pBdr>
        <w:spacing w:before="0" w:after="0"/>
        <w:jc w:val="left"/>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00000002" w14:textId="0E9D7148" w:rsidR="00CC781C" w:rsidRDefault="003F18C8">
      <w:pPr>
        <w:spacing w:before="240"/>
        <w:jc w:val="center"/>
        <w:rPr>
          <w:rFonts w:ascii="Cambria" w:eastAsia="Cambria" w:hAnsi="Cambria" w:cs="Cambria"/>
          <w:b/>
          <w:smallCaps/>
          <w:color w:val="403152"/>
          <w:sz w:val="40"/>
          <w:szCs w:val="40"/>
        </w:rPr>
      </w:pPr>
      <w:sdt>
        <w:sdtPr>
          <w:tag w:val="goog_rdk_0"/>
          <w:id w:val="-826363511"/>
        </w:sdtPr>
        <w:sdtEndPr/>
        <w:sdtContent/>
      </w:sdt>
      <w:r w:rsidR="00620CF4">
        <w:rPr>
          <w:rFonts w:ascii="Cambria" w:eastAsia="Cambria" w:hAnsi="Cambria" w:cs="Cambria"/>
          <w:b/>
          <w:smallCaps/>
          <w:color w:val="403152"/>
          <w:sz w:val="40"/>
          <w:szCs w:val="40"/>
        </w:rPr>
        <w:t xml:space="preserve">Horizon Europe – Cluster </w:t>
      </w:r>
      <w:proofErr w:type="gramStart"/>
      <w:r w:rsidR="00D928E6">
        <w:rPr>
          <w:rFonts w:ascii="Cambria" w:eastAsia="Cambria" w:hAnsi="Cambria" w:cs="Cambria"/>
          <w:b/>
          <w:smallCaps/>
          <w:color w:val="403152"/>
          <w:sz w:val="40"/>
          <w:szCs w:val="40"/>
        </w:rPr>
        <w:t>4</w:t>
      </w:r>
      <w:r w:rsidR="0071744F">
        <w:rPr>
          <w:rFonts w:ascii="Cambria" w:eastAsia="Cambria" w:hAnsi="Cambria" w:cs="Cambria"/>
          <w:b/>
          <w:smallCaps/>
          <w:color w:val="403152"/>
          <w:sz w:val="40"/>
          <w:szCs w:val="40"/>
        </w:rPr>
        <w:t>  «</w:t>
      </w:r>
      <w:proofErr w:type="gramEnd"/>
      <w:r w:rsidR="0071744F">
        <w:rPr>
          <w:rFonts w:ascii="Cambria" w:eastAsia="Cambria" w:hAnsi="Cambria" w:cs="Cambria"/>
          <w:b/>
          <w:smallCaps/>
          <w:color w:val="403152"/>
          <w:sz w:val="40"/>
          <w:szCs w:val="40"/>
        </w:rPr>
        <w:t> </w:t>
      </w:r>
      <w:r w:rsidR="00D928E6">
        <w:rPr>
          <w:rFonts w:ascii="Cambria" w:eastAsia="Cambria" w:hAnsi="Cambria" w:cs="Cambria"/>
          <w:b/>
          <w:smallCaps/>
          <w:color w:val="403152"/>
          <w:sz w:val="40"/>
          <w:szCs w:val="40"/>
        </w:rPr>
        <w:t>Numérique, industrie et espace</w:t>
      </w:r>
      <w:r w:rsidR="0071744F">
        <w:rPr>
          <w:rFonts w:ascii="Cambria" w:eastAsia="Cambria" w:hAnsi="Cambria" w:cs="Cambria"/>
          <w:b/>
          <w:smallCaps/>
          <w:color w:val="403152"/>
          <w:sz w:val="40"/>
          <w:szCs w:val="40"/>
        </w:rPr>
        <w:t> »</w:t>
      </w:r>
    </w:p>
    <w:p w14:paraId="78F22A36" w14:textId="0FF97DA1" w:rsidR="00620CF4" w:rsidRDefault="00620CF4">
      <w:pPr>
        <w:spacing w:before="240"/>
        <w:jc w:val="center"/>
        <w:rPr>
          <w:rFonts w:ascii="Cambria" w:eastAsia="Cambria" w:hAnsi="Cambria" w:cs="Cambria"/>
          <w:b/>
          <w:smallCaps/>
          <w:color w:val="403152"/>
          <w:sz w:val="40"/>
          <w:szCs w:val="40"/>
        </w:rPr>
      </w:pPr>
      <w:r>
        <w:rPr>
          <w:rFonts w:ascii="Cambria" w:eastAsia="Cambria" w:hAnsi="Cambria" w:cs="Cambria"/>
          <w:b/>
          <w:smallCaps/>
          <w:noProof/>
          <w:color w:val="403152"/>
          <w:sz w:val="40"/>
          <w:szCs w:val="40"/>
        </w:rPr>
        <w:drawing>
          <wp:inline distT="0" distB="0" distL="0" distR="0" wp14:anchorId="7155438E" wp14:editId="31F3143E">
            <wp:extent cx="1485900" cy="2072439"/>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a:extLst>
                        <a:ext uri="{28A0092B-C50C-407E-A947-70E740481C1C}">
                          <a14:useLocalDpi xmlns:a14="http://schemas.microsoft.com/office/drawing/2010/main" val="0"/>
                        </a:ext>
                      </a:extLst>
                    </a:blip>
                    <a:stretch>
                      <a:fillRect/>
                    </a:stretch>
                  </pic:blipFill>
                  <pic:spPr>
                    <a:xfrm>
                      <a:off x="0" y="0"/>
                      <a:ext cx="1487691" cy="2074937"/>
                    </a:xfrm>
                    <a:prstGeom prst="rect">
                      <a:avLst/>
                    </a:prstGeom>
                  </pic:spPr>
                </pic:pic>
              </a:graphicData>
            </a:graphic>
          </wp:inline>
        </w:drawing>
      </w:r>
    </w:p>
    <w:p w14:paraId="2B2433B1" w14:textId="6F003945" w:rsidR="00932D39" w:rsidRDefault="00932D39">
      <w:pPr>
        <w:pBdr>
          <w:top w:val="nil"/>
          <w:left w:val="nil"/>
          <w:bottom w:val="nil"/>
          <w:right w:val="nil"/>
          <w:between w:val="nil"/>
        </w:pBdr>
      </w:pPr>
    </w:p>
    <w:p w14:paraId="4CA53A17" w14:textId="79B25FD7" w:rsidR="00BD3F7C" w:rsidRDefault="00BD3F7C" w:rsidP="00BD3F7C">
      <w:pPr>
        <w:pStyle w:val="EnvTitreparagraphe"/>
        <w:numPr>
          <w:ilvl w:val="0"/>
          <w:numId w:val="0"/>
        </w:numPr>
        <w:spacing w:before="0"/>
        <w:ind w:left="360" w:hanging="360"/>
        <w:rPr>
          <w:sz w:val="24"/>
          <w:szCs w:val="24"/>
        </w:rPr>
      </w:pP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2694"/>
        <w:gridCol w:w="2693"/>
        <w:gridCol w:w="2384"/>
        <w:gridCol w:w="1981"/>
      </w:tblGrid>
      <w:tr w:rsidR="00BD3F7C" w14:paraId="15D6ACC7" w14:textId="77777777" w:rsidTr="00A64727">
        <w:trPr>
          <w:trHeight w:val="787"/>
        </w:trPr>
        <w:tc>
          <w:tcPr>
            <w:tcW w:w="2694" w:type="dxa"/>
            <w:shd w:val="clear" w:color="auto" w:fill="CCC0D9" w:themeFill="accent4" w:themeFillTint="66"/>
            <w:vAlign w:val="center"/>
            <w:hideMark/>
          </w:tcPr>
          <w:p w14:paraId="0D6E7D2D" w14:textId="77777777" w:rsidR="00BD3F7C" w:rsidRDefault="00BD3F7C">
            <w:pPr>
              <w:tabs>
                <w:tab w:val="left" w:pos="1307"/>
              </w:tabs>
              <w:jc w:val="center"/>
              <w:rPr>
                <w:b/>
                <w:bCs/>
              </w:rPr>
            </w:pPr>
            <w:r>
              <w:rPr>
                <w:b/>
                <w:bCs/>
              </w:rPr>
              <w:t>Domaines visés</w:t>
            </w:r>
          </w:p>
        </w:tc>
        <w:tc>
          <w:tcPr>
            <w:tcW w:w="2693" w:type="dxa"/>
            <w:shd w:val="clear" w:color="auto" w:fill="CCC0D9" w:themeFill="accent4" w:themeFillTint="66"/>
            <w:vAlign w:val="center"/>
            <w:hideMark/>
          </w:tcPr>
          <w:p w14:paraId="62C4F2A6" w14:textId="77777777" w:rsidR="00BD3F7C" w:rsidRDefault="00BD3F7C">
            <w:pPr>
              <w:tabs>
                <w:tab w:val="left" w:pos="1307"/>
              </w:tabs>
              <w:jc w:val="center"/>
              <w:rPr>
                <w:b/>
                <w:bCs/>
              </w:rPr>
            </w:pPr>
            <w:r>
              <w:rPr>
                <w:b/>
                <w:bCs/>
              </w:rPr>
              <w:t>Porteurs de projet éligibles</w:t>
            </w:r>
          </w:p>
        </w:tc>
        <w:tc>
          <w:tcPr>
            <w:tcW w:w="4365" w:type="dxa"/>
            <w:gridSpan w:val="2"/>
            <w:shd w:val="clear" w:color="auto" w:fill="CCC0D9" w:themeFill="accent4" w:themeFillTint="66"/>
            <w:vAlign w:val="center"/>
            <w:hideMark/>
          </w:tcPr>
          <w:p w14:paraId="389DB933" w14:textId="77777777" w:rsidR="00BD3F7C" w:rsidRDefault="00BD3F7C">
            <w:pPr>
              <w:tabs>
                <w:tab w:val="left" w:pos="1307"/>
              </w:tabs>
              <w:jc w:val="center"/>
              <w:rPr>
                <w:b/>
                <w:bCs/>
              </w:rPr>
            </w:pPr>
            <w:r>
              <w:rPr>
                <w:b/>
                <w:bCs/>
              </w:rPr>
              <w:t>Type de partenariat</w:t>
            </w:r>
          </w:p>
        </w:tc>
      </w:tr>
      <w:tr w:rsidR="00BD3F7C" w14:paraId="63602C96" w14:textId="77777777" w:rsidTr="00A64727">
        <w:trPr>
          <w:trHeight w:val="669"/>
        </w:trPr>
        <w:tc>
          <w:tcPr>
            <w:tcW w:w="2694" w:type="dxa"/>
            <w:shd w:val="clear" w:color="auto" w:fill="E5DFEC" w:themeFill="accent4" w:themeFillTint="33"/>
            <w:vAlign w:val="center"/>
            <w:hideMark/>
          </w:tcPr>
          <w:p w14:paraId="67AEFA33" w14:textId="6C0F8C28" w:rsidR="00BD3F7C" w:rsidRDefault="007A79DD" w:rsidP="007A683C">
            <w:pPr>
              <w:pStyle w:val="Paragraphedeliste"/>
              <w:numPr>
                <w:ilvl w:val="0"/>
                <w:numId w:val="13"/>
              </w:numPr>
              <w:tabs>
                <w:tab w:val="left" w:pos="1307"/>
              </w:tabs>
            </w:pPr>
            <w:r>
              <w:t>Décarbonation des entreprises</w:t>
            </w:r>
          </w:p>
          <w:p w14:paraId="49FFA11A" w14:textId="03FDCF91" w:rsidR="007A683C" w:rsidRDefault="00B71AAA" w:rsidP="007A683C">
            <w:pPr>
              <w:pStyle w:val="Paragraphedeliste"/>
              <w:numPr>
                <w:ilvl w:val="0"/>
                <w:numId w:val="13"/>
              </w:numPr>
              <w:tabs>
                <w:tab w:val="left" w:pos="1307"/>
              </w:tabs>
            </w:pPr>
            <w:r>
              <w:t>Économie</w:t>
            </w:r>
            <w:r w:rsidR="007A79DD">
              <w:t xml:space="preserve"> circulaire</w:t>
            </w:r>
          </w:p>
          <w:p w14:paraId="309FC561" w14:textId="0AD25FFA" w:rsidR="007A79DD" w:rsidRDefault="007A79DD" w:rsidP="007A683C">
            <w:pPr>
              <w:pStyle w:val="Paragraphedeliste"/>
              <w:numPr>
                <w:ilvl w:val="0"/>
                <w:numId w:val="13"/>
              </w:numPr>
              <w:tabs>
                <w:tab w:val="left" w:pos="1307"/>
              </w:tabs>
            </w:pPr>
            <w:r>
              <w:t>Utilisation efficace des ressources</w:t>
            </w:r>
          </w:p>
          <w:p w14:paraId="083ADEFD" w14:textId="7402A82B" w:rsidR="00BD3F7C" w:rsidRDefault="00BD3F7C" w:rsidP="00BD3F7C">
            <w:pPr>
              <w:tabs>
                <w:tab w:val="left" w:pos="1307"/>
              </w:tabs>
            </w:pPr>
          </w:p>
        </w:tc>
        <w:tc>
          <w:tcPr>
            <w:tcW w:w="2693" w:type="dxa"/>
            <w:shd w:val="clear" w:color="auto" w:fill="E5DFEC" w:themeFill="accent4" w:themeFillTint="33"/>
            <w:vAlign w:val="center"/>
            <w:hideMark/>
          </w:tcPr>
          <w:p w14:paraId="558934A0" w14:textId="4C566DAB" w:rsidR="00BD3F7C" w:rsidRDefault="00BD3F7C">
            <w:pPr>
              <w:tabs>
                <w:tab w:val="left" w:pos="1307"/>
              </w:tabs>
              <w:jc w:val="center"/>
            </w:pPr>
            <w:r w:rsidRPr="00413D68">
              <w:t>Toute organisation active dans les domaines visés : universités, organismes de formation, associations, collectivités, etc</w:t>
            </w:r>
            <w:r w:rsidR="00B71AAA">
              <w:t>.</w:t>
            </w:r>
          </w:p>
        </w:tc>
        <w:tc>
          <w:tcPr>
            <w:tcW w:w="2384" w:type="dxa"/>
            <w:shd w:val="clear" w:color="auto" w:fill="E5DFEC" w:themeFill="accent4" w:themeFillTint="33"/>
            <w:vAlign w:val="center"/>
            <w:hideMark/>
          </w:tcPr>
          <w:p w14:paraId="0BB4B81E" w14:textId="79E17518" w:rsidR="00BD3F7C" w:rsidRDefault="00A64727">
            <w:pPr>
              <w:pStyle w:val="Paragraphedeliste"/>
            </w:pPr>
            <w:r>
              <w:t xml:space="preserve">Au moins </w:t>
            </w:r>
            <w:r w:rsidR="00682ABF">
              <w:t>3</w:t>
            </w:r>
            <w:r>
              <w:t xml:space="preserve"> </w:t>
            </w:r>
            <w:r w:rsidR="00482C11">
              <w:t>partenaires</w:t>
            </w:r>
          </w:p>
        </w:tc>
        <w:tc>
          <w:tcPr>
            <w:tcW w:w="1981" w:type="dxa"/>
            <w:shd w:val="clear" w:color="auto" w:fill="E5DFEC" w:themeFill="accent4" w:themeFillTint="33"/>
            <w:vAlign w:val="center"/>
            <w:hideMark/>
          </w:tcPr>
          <w:p w14:paraId="2F081025" w14:textId="05206815" w:rsidR="00BD3F7C" w:rsidRDefault="00A64727">
            <w:pPr>
              <w:tabs>
                <w:tab w:val="left" w:pos="1307"/>
              </w:tabs>
              <w:jc w:val="center"/>
            </w:pPr>
            <w:r>
              <w:t xml:space="preserve">Au moins </w:t>
            </w:r>
            <w:r w:rsidR="00682ABF">
              <w:t>3</w:t>
            </w:r>
            <w:r>
              <w:t xml:space="preserve"> </w:t>
            </w:r>
            <w:r w:rsidR="00B71AAA">
              <w:t>États</w:t>
            </w:r>
            <w:r>
              <w:t xml:space="preserve"> membres représentés dans le partenariat</w:t>
            </w:r>
          </w:p>
        </w:tc>
      </w:tr>
      <w:tr w:rsidR="00BD3F7C" w14:paraId="236E4168" w14:textId="77777777" w:rsidTr="00A64727">
        <w:trPr>
          <w:trHeight w:val="628"/>
        </w:trPr>
        <w:tc>
          <w:tcPr>
            <w:tcW w:w="2694" w:type="dxa"/>
            <w:shd w:val="clear" w:color="auto" w:fill="CCC0D9" w:themeFill="accent4" w:themeFillTint="66"/>
            <w:vAlign w:val="center"/>
            <w:hideMark/>
          </w:tcPr>
          <w:p w14:paraId="7B9B6BD4" w14:textId="77777777" w:rsidR="00BD3F7C" w:rsidRDefault="00BD3F7C">
            <w:pPr>
              <w:tabs>
                <w:tab w:val="left" w:pos="1307"/>
              </w:tabs>
              <w:jc w:val="center"/>
              <w:rPr>
                <w:b/>
                <w:bCs/>
              </w:rPr>
            </w:pPr>
            <w:r>
              <w:rPr>
                <w:b/>
                <w:bCs/>
              </w:rPr>
              <w:t>Typologie de projet</w:t>
            </w:r>
          </w:p>
        </w:tc>
        <w:tc>
          <w:tcPr>
            <w:tcW w:w="2693" w:type="dxa"/>
            <w:shd w:val="clear" w:color="auto" w:fill="CCC0D9" w:themeFill="accent4" w:themeFillTint="66"/>
            <w:vAlign w:val="center"/>
            <w:hideMark/>
          </w:tcPr>
          <w:p w14:paraId="14848F17" w14:textId="77777777" w:rsidR="00BD3F7C" w:rsidRDefault="00BD3F7C">
            <w:pPr>
              <w:tabs>
                <w:tab w:val="left" w:pos="1307"/>
              </w:tabs>
              <w:jc w:val="center"/>
              <w:rPr>
                <w:b/>
                <w:bCs/>
              </w:rPr>
            </w:pPr>
            <w:r>
              <w:rPr>
                <w:b/>
                <w:bCs/>
              </w:rPr>
              <w:t>Forme de l’appui financier</w:t>
            </w:r>
          </w:p>
        </w:tc>
        <w:tc>
          <w:tcPr>
            <w:tcW w:w="2384" w:type="dxa"/>
            <w:shd w:val="clear" w:color="auto" w:fill="CCC0D9" w:themeFill="accent4" w:themeFillTint="66"/>
            <w:vAlign w:val="center"/>
            <w:hideMark/>
          </w:tcPr>
          <w:p w14:paraId="3C722E90" w14:textId="77777777" w:rsidR="00BD3F7C" w:rsidRDefault="00BD3F7C">
            <w:pPr>
              <w:tabs>
                <w:tab w:val="left" w:pos="1307"/>
              </w:tabs>
              <w:jc w:val="center"/>
              <w:rPr>
                <w:b/>
                <w:bCs/>
              </w:rPr>
            </w:pPr>
            <w:r>
              <w:rPr>
                <w:b/>
                <w:bCs/>
              </w:rPr>
              <w:t>Budget moyen des projets</w:t>
            </w:r>
          </w:p>
        </w:tc>
        <w:tc>
          <w:tcPr>
            <w:tcW w:w="1981" w:type="dxa"/>
            <w:shd w:val="clear" w:color="auto" w:fill="CCC0D9" w:themeFill="accent4" w:themeFillTint="66"/>
            <w:vAlign w:val="center"/>
            <w:hideMark/>
          </w:tcPr>
          <w:p w14:paraId="03710F8D" w14:textId="77777777" w:rsidR="00BD3F7C" w:rsidRDefault="00BD3F7C">
            <w:pPr>
              <w:tabs>
                <w:tab w:val="left" w:pos="1307"/>
              </w:tabs>
              <w:jc w:val="center"/>
              <w:rPr>
                <w:b/>
                <w:bCs/>
              </w:rPr>
            </w:pPr>
            <w:r>
              <w:rPr>
                <w:b/>
                <w:bCs/>
              </w:rPr>
              <w:t>Taux d’aide</w:t>
            </w:r>
          </w:p>
        </w:tc>
      </w:tr>
      <w:tr w:rsidR="00BD3F7C" w14:paraId="1437D595" w14:textId="77777777" w:rsidTr="00A64727">
        <w:trPr>
          <w:trHeight w:val="645"/>
        </w:trPr>
        <w:tc>
          <w:tcPr>
            <w:tcW w:w="2694" w:type="dxa"/>
            <w:shd w:val="clear" w:color="auto" w:fill="E5DFEC" w:themeFill="accent4" w:themeFillTint="33"/>
            <w:vAlign w:val="center"/>
            <w:hideMark/>
          </w:tcPr>
          <w:p w14:paraId="57CFFA90" w14:textId="13B6F3A2" w:rsidR="00BD3F7C" w:rsidRDefault="00BD3F7C">
            <w:pPr>
              <w:tabs>
                <w:tab w:val="left" w:pos="1307"/>
              </w:tabs>
              <w:jc w:val="center"/>
            </w:pPr>
            <w:r>
              <w:t>Projet de recherche et d’innovation appliquée</w:t>
            </w:r>
            <w:r w:rsidR="00F857DD">
              <w:t>s</w:t>
            </w:r>
          </w:p>
        </w:tc>
        <w:tc>
          <w:tcPr>
            <w:tcW w:w="2693" w:type="dxa"/>
            <w:shd w:val="clear" w:color="auto" w:fill="E5DFEC" w:themeFill="accent4" w:themeFillTint="33"/>
            <w:vAlign w:val="center"/>
            <w:hideMark/>
          </w:tcPr>
          <w:p w14:paraId="60CC4099" w14:textId="77777777" w:rsidR="00BD3F7C" w:rsidRDefault="00BD3F7C">
            <w:pPr>
              <w:tabs>
                <w:tab w:val="left" w:pos="1307"/>
              </w:tabs>
              <w:jc w:val="center"/>
            </w:pPr>
            <w:r>
              <w:t>Subvention</w:t>
            </w:r>
          </w:p>
        </w:tc>
        <w:tc>
          <w:tcPr>
            <w:tcW w:w="2384" w:type="dxa"/>
            <w:shd w:val="clear" w:color="auto" w:fill="E5DFEC" w:themeFill="accent4" w:themeFillTint="33"/>
            <w:vAlign w:val="center"/>
            <w:hideMark/>
          </w:tcPr>
          <w:p w14:paraId="0EF88550" w14:textId="77777777" w:rsidR="00654BD2" w:rsidRDefault="00511B22">
            <w:pPr>
              <w:tabs>
                <w:tab w:val="left" w:pos="1307"/>
              </w:tabs>
              <w:jc w:val="center"/>
            </w:pPr>
            <w:r>
              <w:t>8-10</w:t>
            </w:r>
            <w:r w:rsidR="009B732B">
              <w:t xml:space="preserve"> millions</w:t>
            </w:r>
            <w:r w:rsidR="00654BD2">
              <w:t xml:space="preserve"> </w:t>
            </w:r>
          </w:p>
          <w:p w14:paraId="16D72911" w14:textId="7B9B46D0" w:rsidR="00BD3F7C" w:rsidRDefault="00654BD2">
            <w:pPr>
              <w:tabs>
                <w:tab w:val="left" w:pos="1307"/>
              </w:tabs>
              <w:jc w:val="center"/>
            </w:pPr>
            <w:r>
              <w:t>(2021-2022)</w:t>
            </w:r>
          </w:p>
        </w:tc>
        <w:tc>
          <w:tcPr>
            <w:tcW w:w="1981" w:type="dxa"/>
            <w:shd w:val="clear" w:color="auto" w:fill="E5DFEC" w:themeFill="accent4" w:themeFillTint="33"/>
            <w:vAlign w:val="center"/>
            <w:hideMark/>
          </w:tcPr>
          <w:p w14:paraId="37C4DFA3" w14:textId="173EC669" w:rsidR="00BD3F7C" w:rsidRDefault="00BD3F7C" w:rsidP="002F7055">
            <w:pPr>
              <w:tabs>
                <w:tab w:val="left" w:pos="1307"/>
              </w:tabs>
              <w:jc w:val="center"/>
            </w:pPr>
            <w:r>
              <w:t>100%</w:t>
            </w:r>
            <w:r w:rsidR="00E21BA8">
              <w:t xml:space="preserve"> pour les projets RIA</w:t>
            </w:r>
          </w:p>
          <w:p w14:paraId="574F31D6" w14:textId="0F66B48B" w:rsidR="002F7055" w:rsidRDefault="002F7055" w:rsidP="002F7055">
            <w:pPr>
              <w:tabs>
                <w:tab w:val="left" w:pos="1307"/>
              </w:tabs>
              <w:jc w:val="center"/>
            </w:pPr>
            <w:r>
              <w:t>70% pour les projets IA</w:t>
            </w:r>
          </w:p>
        </w:tc>
      </w:tr>
      <w:tr w:rsidR="00A64727" w14:paraId="3D5C67BD" w14:textId="77777777" w:rsidTr="00D34040">
        <w:trPr>
          <w:trHeight w:val="645"/>
        </w:trPr>
        <w:tc>
          <w:tcPr>
            <w:tcW w:w="2694" w:type="dxa"/>
            <w:shd w:val="clear" w:color="auto" w:fill="CCC0D9" w:themeFill="accent4" w:themeFillTint="66"/>
            <w:vAlign w:val="center"/>
            <w:hideMark/>
          </w:tcPr>
          <w:p w14:paraId="3D096BC1" w14:textId="77777777" w:rsidR="00A64727" w:rsidRDefault="00A64727">
            <w:pPr>
              <w:tabs>
                <w:tab w:val="left" w:pos="1307"/>
              </w:tabs>
              <w:jc w:val="center"/>
            </w:pPr>
            <w:r>
              <w:rPr>
                <w:b/>
                <w:bCs/>
              </w:rPr>
              <w:t>Mode de candidature</w:t>
            </w:r>
          </w:p>
        </w:tc>
        <w:tc>
          <w:tcPr>
            <w:tcW w:w="2693" w:type="dxa"/>
            <w:shd w:val="clear" w:color="auto" w:fill="CCC0D9" w:themeFill="accent4" w:themeFillTint="66"/>
            <w:vAlign w:val="center"/>
            <w:hideMark/>
          </w:tcPr>
          <w:p w14:paraId="2D778E8D" w14:textId="77777777" w:rsidR="00A64727" w:rsidRDefault="00A64727">
            <w:pPr>
              <w:tabs>
                <w:tab w:val="left" w:pos="1307"/>
              </w:tabs>
              <w:jc w:val="center"/>
            </w:pPr>
            <w:r>
              <w:rPr>
                <w:b/>
                <w:bCs/>
              </w:rPr>
              <w:t>Taux de sélection</w:t>
            </w:r>
          </w:p>
        </w:tc>
        <w:tc>
          <w:tcPr>
            <w:tcW w:w="4365" w:type="dxa"/>
            <w:gridSpan w:val="2"/>
            <w:shd w:val="clear" w:color="auto" w:fill="CCC0D9" w:themeFill="accent4" w:themeFillTint="66"/>
            <w:vAlign w:val="center"/>
            <w:hideMark/>
          </w:tcPr>
          <w:p w14:paraId="675B8724" w14:textId="05BD8E9B" w:rsidR="00A64727" w:rsidRPr="00BB387A" w:rsidRDefault="00A64727">
            <w:pPr>
              <w:tabs>
                <w:tab w:val="left" w:pos="1307"/>
              </w:tabs>
              <w:jc w:val="center"/>
            </w:pPr>
            <w:r w:rsidRPr="00BB387A">
              <w:rPr>
                <w:b/>
                <w:bCs/>
              </w:rPr>
              <w:t>Durée des projets</w:t>
            </w:r>
          </w:p>
        </w:tc>
      </w:tr>
      <w:tr w:rsidR="00A64727" w14:paraId="69CAFC53" w14:textId="77777777" w:rsidTr="00D34040">
        <w:trPr>
          <w:trHeight w:val="645"/>
        </w:trPr>
        <w:tc>
          <w:tcPr>
            <w:tcW w:w="2694" w:type="dxa"/>
            <w:shd w:val="clear" w:color="auto" w:fill="E5DFEC" w:themeFill="accent4" w:themeFillTint="33"/>
            <w:vAlign w:val="center"/>
            <w:hideMark/>
          </w:tcPr>
          <w:p w14:paraId="1D049A93" w14:textId="07C65C51" w:rsidR="00A64727" w:rsidRDefault="00E21BA8">
            <w:pPr>
              <w:tabs>
                <w:tab w:val="left" w:pos="1307"/>
              </w:tabs>
              <w:jc w:val="center"/>
            </w:pPr>
            <w:r>
              <w:t>1 seule étape</w:t>
            </w:r>
            <w:r w:rsidR="002F7055">
              <w:t>**</w:t>
            </w:r>
          </w:p>
        </w:tc>
        <w:tc>
          <w:tcPr>
            <w:tcW w:w="2693" w:type="dxa"/>
            <w:shd w:val="clear" w:color="auto" w:fill="E5DFEC" w:themeFill="accent4" w:themeFillTint="33"/>
            <w:vAlign w:val="center"/>
          </w:tcPr>
          <w:p w14:paraId="54AAB5DE" w14:textId="10CF7381" w:rsidR="00A64727" w:rsidRDefault="0069485E">
            <w:pPr>
              <w:tabs>
                <w:tab w:val="left" w:pos="1307"/>
              </w:tabs>
              <w:jc w:val="center"/>
            </w:pPr>
            <w:r>
              <w:t>Entre 7 et 15%</w:t>
            </w:r>
          </w:p>
        </w:tc>
        <w:tc>
          <w:tcPr>
            <w:tcW w:w="4365" w:type="dxa"/>
            <w:gridSpan w:val="2"/>
            <w:shd w:val="clear" w:color="auto" w:fill="E5DFEC" w:themeFill="accent4" w:themeFillTint="33"/>
            <w:vAlign w:val="center"/>
            <w:hideMark/>
          </w:tcPr>
          <w:p w14:paraId="3DF14421" w14:textId="77777777" w:rsidR="00A64727" w:rsidRDefault="002F7055">
            <w:pPr>
              <w:tabs>
                <w:tab w:val="left" w:pos="1307"/>
              </w:tabs>
              <w:jc w:val="center"/>
            </w:pPr>
            <w:r>
              <w:t>3</w:t>
            </w:r>
            <w:r w:rsidR="009926BF">
              <w:t xml:space="preserve"> à 5 ans (pour RIA)</w:t>
            </w:r>
          </w:p>
          <w:p w14:paraId="63590969" w14:textId="3DF0FAE9" w:rsidR="009B2842" w:rsidRDefault="009B2842">
            <w:pPr>
              <w:tabs>
                <w:tab w:val="left" w:pos="1307"/>
              </w:tabs>
              <w:jc w:val="center"/>
            </w:pPr>
            <w:r>
              <w:t>30 à 36 mois (pour IA)</w:t>
            </w:r>
          </w:p>
        </w:tc>
      </w:tr>
    </w:tbl>
    <w:p w14:paraId="4B13B2FE" w14:textId="60B186D1" w:rsidR="00BD3F7C" w:rsidRDefault="00E21BA8" w:rsidP="007E2C7D">
      <w:pPr>
        <w:pStyle w:val="EnvTitreparagraphe"/>
        <w:numPr>
          <w:ilvl w:val="0"/>
          <w:numId w:val="0"/>
        </w:numPr>
        <w:spacing w:before="0" w:after="80"/>
        <w:ind w:left="357" w:hanging="357"/>
        <w:rPr>
          <w:b w:val="0"/>
          <w:bCs/>
          <w:i/>
          <w:iCs/>
          <w:color w:val="auto"/>
        </w:rPr>
      </w:pPr>
      <w:r>
        <w:rPr>
          <w:sz w:val="24"/>
          <w:szCs w:val="24"/>
        </w:rPr>
        <w:t>*</w:t>
      </w:r>
      <w:r w:rsidRPr="00E21BA8">
        <w:rPr>
          <w:b w:val="0"/>
          <w:bCs/>
          <w:i/>
          <w:iCs/>
          <w:color w:val="auto"/>
        </w:rPr>
        <w:t xml:space="preserve">Les projets </w:t>
      </w:r>
      <w:r w:rsidR="002F7055">
        <w:rPr>
          <w:b w:val="0"/>
          <w:bCs/>
          <w:i/>
          <w:iCs/>
          <w:color w:val="auto"/>
        </w:rPr>
        <w:t xml:space="preserve">IA et </w:t>
      </w:r>
      <w:r w:rsidRPr="00E21BA8">
        <w:rPr>
          <w:b w:val="0"/>
          <w:bCs/>
          <w:i/>
          <w:iCs/>
          <w:color w:val="auto"/>
        </w:rPr>
        <w:t xml:space="preserve">RIA </w:t>
      </w:r>
      <w:r w:rsidR="002F7055">
        <w:rPr>
          <w:b w:val="0"/>
          <w:bCs/>
          <w:i/>
          <w:iCs/>
          <w:color w:val="auto"/>
        </w:rPr>
        <w:t>représentent 90% des appels à projet du cluster 4. Les différents types de projets sont décri</w:t>
      </w:r>
      <w:r w:rsidR="00270770">
        <w:rPr>
          <w:b w:val="0"/>
          <w:bCs/>
          <w:i/>
          <w:iCs/>
          <w:color w:val="auto"/>
        </w:rPr>
        <w:t>t</w:t>
      </w:r>
      <w:r w:rsidR="002F7055">
        <w:rPr>
          <w:b w:val="0"/>
          <w:bCs/>
          <w:i/>
          <w:iCs/>
          <w:color w:val="auto"/>
        </w:rPr>
        <w:t xml:space="preserve"> dans la fiche « HE – Présentation générale ».</w:t>
      </w:r>
    </w:p>
    <w:p w14:paraId="5466E0CB" w14:textId="4CC63337" w:rsidR="002F7055" w:rsidRPr="002F7055" w:rsidRDefault="002F7055" w:rsidP="007E2C7D">
      <w:pPr>
        <w:pStyle w:val="EnvTitreparagraphe"/>
        <w:numPr>
          <w:ilvl w:val="0"/>
          <w:numId w:val="0"/>
        </w:numPr>
        <w:spacing w:before="0" w:after="80"/>
        <w:ind w:left="357" w:hanging="357"/>
        <w:rPr>
          <w:b w:val="0"/>
          <w:bCs/>
          <w:i/>
          <w:iCs/>
          <w:color w:val="auto"/>
        </w:rPr>
      </w:pPr>
      <w:r w:rsidRPr="002F7055">
        <w:rPr>
          <w:b w:val="0"/>
          <w:bCs/>
          <w:i/>
          <w:iCs/>
          <w:color w:val="auto"/>
        </w:rPr>
        <w:t>** Sauf si spécifié autrement dans l’appel à projet</w:t>
      </w:r>
      <w:r w:rsidR="00B71AAA">
        <w:rPr>
          <w:b w:val="0"/>
          <w:bCs/>
          <w:i/>
          <w:iCs/>
          <w:color w:val="auto"/>
        </w:rPr>
        <w:t>s</w:t>
      </w:r>
    </w:p>
    <w:p w14:paraId="77D98302" w14:textId="19E65268" w:rsidR="00C47BF3" w:rsidRDefault="00C47BF3" w:rsidP="007A683C">
      <w:pPr>
        <w:pStyle w:val="EnvTitreparagraphe"/>
        <w:numPr>
          <w:ilvl w:val="0"/>
          <w:numId w:val="0"/>
        </w:numPr>
        <w:spacing w:before="0"/>
        <w:rPr>
          <w:sz w:val="24"/>
          <w:szCs w:val="24"/>
        </w:rPr>
      </w:pPr>
    </w:p>
    <w:p w14:paraId="33F41AAD" w14:textId="36B02FD9" w:rsidR="00FA5BD7" w:rsidRDefault="00FA5BD7" w:rsidP="007A683C">
      <w:pPr>
        <w:pStyle w:val="EnvTitreparagraphe"/>
        <w:numPr>
          <w:ilvl w:val="0"/>
          <w:numId w:val="0"/>
        </w:numPr>
        <w:spacing w:before="0"/>
        <w:rPr>
          <w:sz w:val="24"/>
          <w:szCs w:val="24"/>
        </w:rPr>
      </w:pPr>
    </w:p>
    <w:p w14:paraId="202858DF" w14:textId="46E62FF7" w:rsidR="00FA5BD7" w:rsidRDefault="00FA5BD7" w:rsidP="007A683C">
      <w:pPr>
        <w:pStyle w:val="EnvTitreparagraphe"/>
        <w:numPr>
          <w:ilvl w:val="0"/>
          <w:numId w:val="0"/>
        </w:numPr>
        <w:spacing w:before="0"/>
        <w:rPr>
          <w:sz w:val="24"/>
          <w:szCs w:val="24"/>
        </w:rPr>
      </w:pPr>
    </w:p>
    <w:p w14:paraId="6251B3B9" w14:textId="30D08D5C" w:rsidR="008F07F9" w:rsidRPr="00746390" w:rsidRDefault="008F07F9" w:rsidP="004552EE">
      <w:pPr>
        <w:pBdr>
          <w:top w:val="nil"/>
          <w:left w:val="nil"/>
          <w:bottom w:val="nil"/>
          <w:right w:val="nil"/>
          <w:between w:val="nil"/>
        </w:pBdr>
        <w:tabs>
          <w:tab w:val="left" w:pos="1307"/>
        </w:tabs>
        <w:jc w:val="both"/>
      </w:pPr>
      <w:r w:rsidRPr="00CB4FA0">
        <w:rPr>
          <w:color w:val="000000"/>
        </w:rPr>
        <w:lastRenderedPageBreak/>
        <w:t>Le 25 juillet 1983, une résolution du Conseil a institué des programmes-cadres pour des activités communautaires de recherche, de développement et de démonstration, et a ainsi lancé le premier PCRD, pour la période 1984-1987</w:t>
      </w:r>
      <w:r>
        <w:rPr>
          <w:color w:val="000000"/>
        </w:rPr>
        <w:t xml:space="preserve">. Le programme Horizon Europe </w:t>
      </w:r>
      <w:r w:rsidR="00B71AAA">
        <w:rPr>
          <w:color w:val="000000"/>
        </w:rPr>
        <w:t xml:space="preserve">(2021-2027) </w:t>
      </w:r>
      <w:r>
        <w:rPr>
          <w:color w:val="000000"/>
        </w:rPr>
        <w:t>sera le 9</w:t>
      </w:r>
      <w:r w:rsidRPr="00CB4FA0">
        <w:rPr>
          <w:color w:val="000000"/>
          <w:vertAlign w:val="superscript"/>
        </w:rPr>
        <w:t>e</w:t>
      </w:r>
      <w:r>
        <w:rPr>
          <w:color w:val="000000"/>
        </w:rPr>
        <w:t xml:space="preserve"> renouvellement de ce programme, après le FP7 (2007-2013)</w:t>
      </w:r>
      <w:r w:rsidR="00B71AAA">
        <w:rPr>
          <w:color w:val="000000"/>
        </w:rPr>
        <w:t xml:space="preserve"> et</w:t>
      </w:r>
      <w:r>
        <w:rPr>
          <w:color w:val="000000"/>
        </w:rPr>
        <w:t xml:space="preserve"> Horizon 2020 (2014-2020). Il est géré directement par la Commission, et disposera pour la nouvelle programmation de 95.5 milliards d’euros de budget (don</w:t>
      </w:r>
      <w:r w:rsidR="00B71AAA">
        <w:rPr>
          <w:color w:val="000000"/>
        </w:rPr>
        <w:t>t</w:t>
      </w:r>
      <w:r>
        <w:rPr>
          <w:color w:val="000000"/>
        </w:rPr>
        <w:t xml:space="preserve"> 5 milliards issus du Plan de relance). </w:t>
      </w:r>
    </w:p>
    <w:p w14:paraId="406015C9" w14:textId="77777777" w:rsidR="00885670" w:rsidRDefault="00885670" w:rsidP="00885670">
      <w:pPr>
        <w:pBdr>
          <w:top w:val="nil"/>
          <w:left w:val="nil"/>
          <w:bottom w:val="nil"/>
          <w:right w:val="nil"/>
          <w:between w:val="nil"/>
        </w:pBdr>
        <w:tabs>
          <w:tab w:val="left" w:pos="1307"/>
        </w:tabs>
        <w:jc w:val="both"/>
        <w:rPr>
          <w:color w:val="000000"/>
        </w:rPr>
      </w:pPr>
    </w:p>
    <w:p w14:paraId="73689EC4" w14:textId="3B15063E" w:rsidR="008F07F9" w:rsidRDefault="008F07F9" w:rsidP="004552EE">
      <w:pPr>
        <w:pBdr>
          <w:top w:val="nil"/>
          <w:left w:val="nil"/>
          <w:bottom w:val="nil"/>
          <w:right w:val="nil"/>
          <w:between w:val="nil"/>
        </w:pBdr>
        <w:tabs>
          <w:tab w:val="left" w:pos="1307"/>
        </w:tabs>
        <w:jc w:val="both"/>
      </w:pPr>
      <w:r>
        <w:rPr>
          <w:color w:val="000000"/>
        </w:rPr>
        <w:t>Des programmes de travail sont publiés tous les 2 ans pour présenter, à l’avance, les appels prévus sur la période. Le programme de travail 2021-2022 est donc publié, et sera suivi par la publication, fin 2022, de programmes de travail couvrant la période 2023-2024.</w:t>
      </w:r>
      <w:r w:rsidR="004E4585">
        <w:rPr>
          <w:color w:val="000000"/>
        </w:rPr>
        <w:t xml:space="preserve"> Ces programmes de travail sont publiés directement sur la plateforme </w:t>
      </w:r>
      <w:hyperlink r:id="rId10" w:history="1">
        <w:proofErr w:type="spellStart"/>
        <w:r w:rsidR="004E4585" w:rsidRPr="004E4585">
          <w:rPr>
            <w:rStyle w:val="Lienhypertexte"/>
          </w:rPr>
          <w:t>Funding</w:t>
        </w:r>
        <w:proofErr w:type="spellEnd"/>
        <w:r w:rsidR="004E4585" w:rsidRPr="004E4585">
          <w:rPr>
            <w:rStyle w:val="Lienhypertexte"/>
          </w:rPr>
          <w:t xml:space="preserve"> &amp; Tenders</w:t>
        </w:r>
      </w:hyperlink>
      <w:r w:rsidR="004E4585">
        <w:rPr>
          <w:color w:val="000000"/>
        </w:rPr>
        <w:t>.</w:t>
      </w:r>
    </w:p>
    <w:p w14:paraId="572BF484" w14:textId="77777777" w:rsidR="008F07F9" w:rsidRDefault="008F07F9" w:rsidP="00FA5BD7">
      <w:pPr>
        <w:jc w:val="both"/>
      </w:pPr>
    </w:p>
    <w:p w14:paraId="38344A08" w14:textId="65C56AE9" w:rsidR="00FA5BD7" w:rsidRDefault="00FA5BD7" w:rsidP="00FA5BD7">
      <w:pPr>
        <w:jc w:val="both"/>
      </w:pPr>
      <w:r>
        <w:t xml:space="preserve">Le programme Horizon Europe a pour but de financer la recherche et le développement de l’innovation de l’Union européenne. Contrairement à certaines idées reçues il ne vise pas uniquement le financement de la recherche fondamentale (recherche en laboratoire, qui est prise en charge par le premier pilier du programme) mais bien l’innovation dans son ensemble, via le financement </w:t>
      </w:r>
      <w:r w:rsidR="00B71AAA">
        <w:t xml:space="preserve">de </w:t>
      </w:r>
      <w:r>
        <w:t xml:space="preserve">la prise de risque, de tests, de démonstrations, de modélisations, etc. Le pilier </w:t>
      </w:r>
      <w:r w:rsidR="00B71AAA">
        <w:t>2</w:t>
      </w:r>
      <w:r>
        <w:t xml:space="preserve"> notamment, dans lequel se situe le cluster présenté ici (cf. architecture du programme </w:t>
      </w:r>
      <w:r w:rsidR="002A4F31">
        <w:t>présentée dans la fiche HE – Présentation générale</w:t>
      </w:r>
      <w:r>
        <w:t xml:space="preserve">) finance des projets de </w:t>
      </w:r>
      <w:r>
        <w:rPr>
          <w:b/>
          <w:bCs/>
        </w:rPr>
        <w:t>recherche et d’innovation appliquée</w:t>
      </w:r>
      <w:r>
        <w:t xml:space="preserve">, c’est-à-dire des projets innovants testant de nouvelles solutions, y compris sur le terrain, à des échelles plus ou moins développées. </w:t>
      </w:r>
    </w:p>
    <w:p w14:paraId="66F6BB29" w14:textId="77777777" w:rsidR="00D928E6" w:rsidRDefault="00D928E6" w:rsidP="00FA5BD7">
      <w:pPr>
        <w:pStyle w:val="EnvTitreparagraphe"/>
        <w:numPr>
          <w:ilvl w:val="0"/>
          <w:numId w:val="0"/>
        </w:numPr>
        <w:spacing w:before="0"/>
        <w:rPr>
          <w:sz w:val="24"/>
          <w:szCs w:val="24"/>
        </w:rPr>
      </w:pPr>
    </w:p>
    <w:p w14:paraId="0173EA5C" w14:textId="58A1A78A" w:rsidR="00932D39" w:rsidRDefault="00932D39" w:rsidP="00932D39">
      <w:pPr>
        <w:pStyle w:val="EnvTitreparagraphe"/>
        <w:numPr>
          <w:ilvl w:val="0"/>
          <w:numId w:val="8"/>
        </w:numPr>
        <w:spacing w:before="0"/>
        <w:rPr>
          <w:sz w:val="24"/>
          <w:szCs w:val="24"/>
        </w:rPr>
      </w:pPr>
      <w:r>
        <w:rPr>
          <w:sz w:val="24"/>
          <w:szCs w:val="24"/>
        </w:rPr>
        <w:t>Domaines stratégiques pour le Grand Est touchés par le programme</w:t>
      </w:r>
    </w:p>
    <w:p w14:paraId="23D7F23C" w14:textId="23FBC1BD" w:rsidR="00FA5BD7" w:rsidRPr="004552EE" w:rsidRDefault="00822080" w:rsidP="00B71AAA">
      <w:pPr>
        <w:pBdr>
          <w:top w:val="nil"/>
          <w:left w:val="nil"/>
          <w:bottom w:val="nil"/>
          <w:right w:val="nil"/>
          <w:between w:val="nil"/>
        </w:pBdr>
        <w:jc w:val="both"/>
      </w:pPr>
      <w:r w:rsidRPr="004552EE">
        <w:t>La question du numérique et des industries touche de nombreux domaines environnementaux, et plus particulièrement des domaines importants pour la Région Grand Est. Si la partie « Espace » du Cluster 4 ne correspond à aucun domaine à enjeu identifié pour le territoire, les autres priorités retenues par la Commission sont</w:t>
      </w:r>
      <w:r w:rsidR="00B71AAA">
        <w:t xml:space="preserve"> </w:t>
      </w:r>
      <w:r w:rsidRPr="004552EE">
        <w:t xml:space="preserve">en parfaite adéquation avec plusieurs objectifs </w:t>
      </w:r>
      <w:r w:rsidR="002D40C6" w:rsidRPr="004552EE">
        <w:t>de la Région</w:t>
      </w:r>
      <w:r w:rsidR="00FF543E" w:rsidRPr="004552EE">
        <w:t xml:space="preserve">, et notamment la </w:t>
      </w:r>
      <w:r w:rsidR="00FF543E" w:rsidRPr="004552EE">
        <w:rPr>
          <w:b/>
          <w:bCs/>
        </w:rPr>
        <w:t>décarbonation des entreprises</w:t>
      </w:r>
      <w:r w:rsidR="00FF543E" w:rsidRPr="004552EE">
        <w:t>.</w:t>
      </w:r>
    </w:p>
    <w:p w14:paraId="0D91BE4E" w14:textId="2B3E65D8" w:rsidR="00FF543E" w:rsidRPr="004552EE" w:rsidRDefault="00FF543E" w:rsidP="000D7E98">
      <w:pPr>
        <w:pBdr>
          <w:top w:val="nil"/>
          <w:left w:val="nil"/>
          <w:bottom w:val="nil"/>
          <w:right w:val="nil"/>
          <w:between w:val="nil"/>
        </w:pBdr>
        <w:jc w:val="both"/>
      </w:pPr>
    </w:p>
    <w:p w14:paraId="13D5C917" w14:textId="391052AC" w:rsidR="00FF543E" w:rsidRPr="004552EE" w:rsidRDefault="00FF543E" w:rsidP="000D7E98">
      <w:pPr>
        <w:pBdr>
          <w:top w:val="nil"/>
          <w:left w:val="nil"/>
          <w:bottom w:val="nil"/>
          <w:right w:val="nil"/>
          <w:between w:val="nil"/>
        </w:pBdr>
        <w:jc w:val="both"/>
      </w:pPr>
      <w:r w:rsidRPr="004552EE">
        <w:t xml:space="preserve">En effet, ce cluster prévoit le développement d’énergies alternatives à faible ou 0 émissions de GES pour les entreprises, mais également de développer des projets </w:t>
      </w:r>
      <w:r w:rsidR="00BB387A">
        <w:t>relatifs à</w:t>
      </w:r>
      <w:r w:rsidRPr="004552EE">
        <w:t> :</w:t>
      </w:r>
    </w:p>
    <w:p w14:paraId="08DE6D8C" w14:textId="3B4D4212" w:rsidR="00FF543E" w:rsidRPr="004552EE" w:rsidRDefault="00FF543E" w:rsidP="00FF543E">
      <w:pPr>
        <w:pStyle w:val="Paragraphedeliste"/>
        <w:numPr>
          <w:ilvl w:val="0"/>
          <w:numId w:val="40"/>
        </w:numPr>
        <w:pBdr>
          <w:top w:val="nil"/>
          <w:left w:val="nil"/>
          <w:bottom w:val="nil"/>
          <w:right w:val="nil"/>
          <w:between w:val="nil"/>
        </w:pBdr>
        <w:jc w:val="both"/>
      </w:pPr>
      <w:r w:rsidRPr="004552EE">
        <w:t>L’efficacité énergétique</w:t>
      </w:r>
    </w:p>
    <w:p w14:paraId="139A4484" w14:textId="0C443473" w:rsidR="00FF543E" w:rsidRPr="004552EE" w:rsidRDefault="00FF543E" w:rsidP="00FF543E">
      <w:pPr>
        <w:pStyle w:val="Paragraphedeliste"/>
        <w:numPr>
          <w:ilvl w:val="0"/>
          <w:numId w:val="40"/>
        </w:numPr>
        <w:pBdr>
          <w:top w:val="nil"/>
          <w:left w:val="nil"/>
          <w:bottom w:val="nil"/>
          <w:right w:val="nil"/>
          <w:between w:val="nil"/>
        </w:pBdr>
        <w:jc w:val="both"/>
      </w:pPr>
      <w:r w:rsidRPr="004552EE">
        <w:t>La réutilisation/tri/recyclage des déchets ou leur valorisation énergétique</w:t>
      </w:r>
    </w:p>
    <w:p w14:paraId="5B7921AB" w14:textId="0490F326" w:rsidR="00FF543E" w:rsidRPr="004552EE" w:rsidRDefault="00FF543E" w:rsidP="00FF543E">
      <w:pPr>
        <w:pStyle w:val="Paragraphedeliste"/>
        <w:numPr>
          <w:ilvl w:val="0"/>
          <w:numId w:val="40"/>
        </w:numPr>
        <w:pBdr>
          <w:top w:val="nil"/>
          <w:left w:val="nil"/>
          <w:bottom w:val="nil"/>
          <w:right w:val="nil"/>
          <w:between w:val="nil"/>
        </w:pBdr>
        <w:jc w:val="both"/>
      </w:pPr>
      <w:r w:rsidRPr="004552EE">
        <w:t>Le développement de l’économie circulaire</w:t>
      </w:r>
    </w:p>
    <w:p w14:paraId="0F543F86" w14:textId="4CABCB00" w:rsidR="00FF543E" w:rsidRPr="004552EE" w:rsidRDefault="00FF543E" w:rsidP="00D44A72">
      <w:pPr>
        <w:pStyle w:val="Paragraphedeliste"/>
        <w:numPr>
          <w:ilvl w:val="0"/>
          <w:numId w:val="40"/>
        </w:numPr>
        <w:pBdr>
          <w:top w:val="nil"/>
          <w:left w:val="nil"/>
          <w:bottom w:val="nil"/>
          <w:right w:val="nil"/>
          <w:between w:val="nil"/>
        </w:pBdr>
        <w:tabs>
          <w:tab w:val="left" w:pos="1307"/>
        </w:tabs>
        <w:jc w:val="both"/>
      </w:pPr>
      <w:r w:rsidRPr="004552EE">
        <w:t>La valorisation du CO2 de l’industrie et des autres secteurs</w:t>
      </w:r>
    </w:p>
    <w:p w14:paraId="2E15A90F" w14:textId="750BAB96" w:rsidR="00FF543E" w:rsidRPr="004552EE" w:rsidRDefault="00FF543E" w:rsidP="00FF543E">
      <w:pPr>
        <w:pStyle w:val="Paragraphedeliste"/>
        <w:numPr>
          <w:ilvl w:val="0"/>
          <w:numId w:val="40"/>
        </w:numPr>
        <w:pBdr>
          <w:top w:val="nil"/>
          <w:left w:val="nil"/>
          <w:bottom w:val="nil"/>
          <w:right w:val="nil"/>
          <w:between w:val="nil"/>
        </w:pBdr>
        <w:tabs>
          <w:tab w:val="left" w:pos="1307"/>
        </w:tabs>
        <w:jc w:val="both"/>
      </w:pPr>
      <w:r w:rsidRPr="004552EE">
        <w:t>L’électrification et utilisation de sources d’énergie non conventionnelles dans les installations industrielles</w:t>
      </w:r>
    </w:p>
    <w:p w14:paraId="50869FA9" w14:textId="40FFE99F" w:rsidR="00FF543E" w:rsidRPr="004552EE" w:rsidRDefault="00FF543E" w:rsidP="00FF543E">
      <w:pPr>
        <w:pStyle w:val="Paragraphedeliste"/>
        <w:numPr>
          <w:ilvl w:val="0"/>
          <w:numId w:val="40"/>
        </w:numPr>
        <w:pBdr>
          <w:top w:val="nil"/>
          <w:left w:val="nil"/>
          <w:bottom w:val="nil"/>
          <w:right w:val="nil"/>
          <w:between w:val="nil"/>
        </w:pBdr>
        <w:jc w:val="both"/>
      </w:pPr>
      <w:r w:rsidRPr="004552EE">
        <w:t>Le développement de matériaux « climatiquement neutres » ou moins polluants</w:t>
      </w:r>
    </w:p>
    <w:p w14:paraId="34B262B6" w14:textId="35060F79" w:rsidR="00FF543E" w:rsidRPr="004552EE" w:rsidRDefault="00FF543E" w:rsidP="00D44A72">
      <w:pPr>
        <w:pBdr>
          <w:top w:val="nil"/>
          <w:left w:val="nil"/>
          <w:bottom w:val="nil"/>
          <w:right w:val="nil"/>
          <w:between w:val="nil"/>
        </w:pBdr>
        <w:jc w:val="both"/>
      </w:pPr>
    </w:p>
    <w:p w14:paraId="1D4849E2" w14:textId="3E5C3E8C" w:rsidR="00822080" w:rsidRPr="004552EE" w:rsidRDefault="00D44A72" w:rsidP="000D7E98">
      <w:pPr>
        <w:pBdr>
          <w:top w:val="nil"/>
          <w:left w:val="nil"/>
          <w:bottom w:val="nil"/>
          <w:right w:val="nil"/>
          <w:between w:val="nil"/>
        </w:pBdr>
        <w:jc w:val="both"/>
      </w:pPr>
      <w:r w:rsidRPr="004552EE">
        <w:t>Ces projets recherchent également un travail sur les outils, les procédés, la numérisation/la mise en réseau etc. afin de développer des industries à la fois compétitives, moteurs de l’innovation européenne, et climatiquement neutres.</w:t>
      </w:r>
    </w:p>
    <w:p w14:paraId="48E3A939" w14:textId="77777777" w:rsidR="001E4A33" w:rsidRDefault="001E4A33" w:rsidP="001E4A33">
      <w:pPr>
        <w:pStyle w:val="EnvTitreparagraphe"/>
        <w:numPr>
          <w:ilvl w:val="0"/>
          <w:numId w:val="8"/>
        </w:numPr>
        <w:rPr>
          <w:sz w:val="24"/>
          <w:szCs w:val="24"/>
        </w:rPr>
      </w:pPr>
      <w:r>
        <w:rPr>
          <w:sz w:val="24"/>
          <w:szCs w:val="24"/>
        </w:rPr>
        <w:t>Description du programme</w:t>
      </w:r>
    </w:p>
    <w:p w14:paraId="00000017" w14:textId="6765D685" w:rsidR="00CC781C" w:rsidRDefault="003F18C8">
      <w:pPr>
        <w:pStyle w:val="Titre1"/>
        <w:ind w:firstLine="360"/>
      </w:pPr>
      <w:sdt>
        <w:sdtPr>
          <w:tag w:val="goog_rdk_5"/>
          <w:id w:val="-1889330677"/>
          <w:showingPlcHdr/>
        </w:sdtPr>
        <w:sdtEndPr/>
        <w:sdtContent>
          <w:r w:rsidR="001E4A33">
            <w:t xml:space="preserve">     </w:t>
          </w:r>
        </w:sdtContent>
      </w:sdt>
      <w:r w:rsidR="008F7158">
        <w:t xml:space="preserve">Présentation </w:t>
      </w:r>
      <w:r w:rsidR="00FA5BD7">
        <w:t>du cluster</w:t>
      </w:r>
    </w:p>
    <w:p w14:paraId="00000018" w14:textId="77777777" w:rsidR="00CC781C" w:rsidRDefault="00CC781C"/>
    <w:p w14:paraId="61A9C193" w14:textId="77777777" w:rsidR="008F07F9" w:rsidRDefault="008F07F9" w:rsidP="008F07F9">
      <w:pPr>
        <w:pBdr>
          <w:top w:val="nil"/>
          <w:left w:val="nil"/>
          <w:bottom w:val="nil"/>
          <w:right w:val="nil"/>
          <w:between w:val="nil"/>
        </w:pBdr>
        <w:jc w:val="both"/>
      </w:pPr>
      <w:r>
        <w:t>Les orientations stratégiques du Cluster 4 sont les suivantes :</w:t>
      </w:r>
    </w:p>
    <w:p w14:paraId="4873FFF7" w14:textId="1C2762CC" w:rsidR="008F07F9" w:rsidRDefault="008F07F9" w:rsidP="008F07F9">
      <w:pPr>
        <w:pStyle w:val="Paragraphedeliste"/>
        <w:numPr>
          <w:ilvl w:val="0"/>
          <w:numId w:val="24"/>
        </w:numPr>
        <w:pBdr>
          <w:top w:val="nil"/>
          <w:left w:val="nil"/>
          <w:bottom w:val="nil"/>
          <w:right w:val="nil"/>
          <w:between w:val="nil"/>
        </w:pBdr>
        <w:jc w:val="both"/>
      </w:pPr>
      <w:r w:rsidRPr="00D928E6">
        <w:t>Transformer l'industrie de l'UE pour une économie propre, neutre sur le plan climatique, circulaire et compétitive, incluant un approvisionnement durable en matières premières</w:t>
      </w:r>
      <w:r w:rsidR="0003124D">
        <w:t> ;</w:t>
      </w:r>
    </w:p>
    <w:p w14:paraId="252F7F39" w14:textId="12C5C731" w:rsidR="008F07F9" w:rsidRDefault="008F07F9" w:rsidP="008F07F9">
      <w:pPr>
        <w:pStyle w:val="Paragraphedeliste"/>
        <w:numPr>
          <w:ilvl w:val="0"/>
          <w:numId w:val="24"/>
        </w:numPr>
        <w:pBdr>
          <w:top w:val="nil"/>
          <w:left w:val="nil"/>
          <w:bottom w:val="nil"/>
          <w:right w:val="nil"/>
          <w:between w:val="nil"/>
        </w:pBdr>
        <w:jc w:val="both"/>
      </w:pPr>
      <w:r w:rsidRPr="00D928E6">
        <w:lastRenderedPageBreak/>
        <w:t>Garantir le leadership industriel mondial de l'UE et son autonomie stratégique dans les technologies numériques, les technologies clés génériques et les technologies spatiales</w:t>
      </w:r>
      <w:r w:rsidR="0003124D">
        <w:t> ;</w:t>
      </w:r>
    </w:p>
    <w:p w14:paraId="2A30750A" w14:textId="4877687C" w:rsidR="008F07F9" w:rsidRDefault="008F07F9" w:rsidP="008F07F9">
      <w:pPr>
        <w:pStyle w:val="Paragraphedeliste"/>
        <w:numPr>
          <w:ilvl w:val="0"/>
          <w:numId w:val="24"/>
        </w:numPr>
        <w:pBdr>
          <w:top w:val="nil"/>
          <w:left w:val="nil"/>
          <w:bottom w:val="nil"/>
          <w:right w:val="nil"/>
          <w:between w:val="nil"/>
        </w:pBdr>
        <w:jc w:val="both"/>
      </w:pPr>
      <w:r w:rsidRPr="00D928E6">
        <w:t>Façonner des technologies et des innovations qui s’adaptent à nos sociétés, à notre façon de vivre</w:t>
      </w:r>
      <w:r w:rsidR="0003124D">
        <w:t>.</w:t>
      </w:r>
    </w:p>
    <w:p w14:paraId="2006D77A" w14:textId="77777777" w:rsidR="008F07F9" w:rsidRDefault="008F07F9" w:rsidP="008F07F9">
      <w:pPr>
        <w:pBdr>
          <w:top w:val="nil"/>
          <w:left w:val="nil"/>
          <w:bottom w:val="nil"/>
          <w:right w:val="nil"/>
          <w:between w:val="nil"/>
        </w:pBdr>
        <w:jc w:val="both"/>
      </w:pPr>
    </w:p>
    <w:p w14:paraId="41852ACD" w14:textId="77777777" w:rsidR="008F07F9" w:rsidRDefault="008F07F9" w:rsidP="008F07F9">
      <w:pPr>
        <w:pBdr>
          <w:top w:val="nil"/>
          <w:left w:val="nil"/>
          <w:bottom w:val="nil"/>
          <w:right w:val="nil"/>
          <w:between w:val="nil"/>
        </w:pBdr>
        <w:jc w:val="both"/>
      </w:pPr>
      <w:r w:rsidRPr="00D928E6">
        <w:t>Les deux éléments clés de ce cluster sont la transition verte et la transition numérique</w:t>
      </w:r>
      <w:r>
        <w:t>.</w:t>
      </w:r>
    </w:p>
    <w:p w14:paraId="086C525C" w14:textId="7CD5097F" w:rsidR="007051C1" w:rsidRDefault="007051C1" w:rsidP="00F838CD">
      <w:pPr>
        <w:jc w:val="both"/>
      </w:pPr>
    </w:p>
    <w:p w14:paraId="13DA5283" w14:textId="26DD12F5" w:rsidR="00C37E92" w:rsidRDefault="00C37E92" w:rsidP="00F838CD">
      <w:pPr>
        <w:jc w:val="both"/>
      </w:pPr>
      <w:r>
        <w:t>Ce cluster aborde donc de manière très large la problématique de la décarbonation des industries, que ce soit par la décarbonation de leur fonctionnement lui-même ou par la décarbonation de la production ou des procédés en place.</w:t>
      </w:r>
    </w:p>
    <w:p w14:paraId="0A2D08F0" w14:textId="7CBCA10C" w:rsidR="00C37E92" w:rsidRDefault="00C37E92" w:rsidP="00F838CD">
      <w:pPr>
        <w:jc w:val="both"/>
      </w:pPr>
    </w:p>
    <w:p w14:paraId="24E2CB84" w14:textId="1F6C0955" w:rsidR="00C37E92" w:rsidRDefault="00C37E92" w:rsidP="00C37E92">
      <w:pPr>
        <w:pStyle w:val="Paragraphedeliste"/>
        <w:numPr>
          <w:ilvl w:val="0"/>
          <w:numId w:val="39"/>
        </w:numPr>
        <w:jc w:val="both"/>
      </w:pPr>
      <w:r>
        <w:t>Il est à noter que le pilier 3 du programme Horizon Europe est dédié entièrement au financement de l’innovation, avec des approches variées. Cf la fiche dédiée « Horizon Europe – pilier 3 » pour plus d’information.</w:t>
      </w:r>
    </w:p>
    <w:p w14:paraId="0EAEBD86" w14:textId="5B4E8FCB" w:rsidR="00C25CAC" w:rsidRDefault="00C25CAC" w:rsidP="00C37E92">
      <w:pPr>
        <w:pStyle w:val="Paragraphedeliste"/>
        <w:numPr>
          <w:ilvl w:val="0"/>
          <w:numId w:val="39"/>
        </w:numPr>
        <w:jc w:val="both"/>
      </w:pPr>
      <w:r>
        <w:t xml:space="preserve">Le </w:t>
      </w:r>
      <w:r w:rsidR="002A4F31">
        <w:t>cluster</w:t>
      </w:r>
      <w:r>
        <w:t xml:space="preserve"> 5 comprend également </w:t>
      </w:r>
      <w:r w:rsidR="00866AA5">
        <w:t>des</w:t>
      </w:r>
      <w:r w:rsidR="007B3E20">
        <w:t xml:space="preserve"> </w:t>
      </w:r>
      <w:r>
        <w:t>appel</w:t>
      </w:r>
      <w:r w:rsidR="00866AA5">
        <w:t>s</w:t>
      </w:r>
      <w:r>
        <w:t xml:space="preserve"> à projet </w:t>
      </w:r>
      <w:r w:rsidR="00866AA5">
        <w:t>liés à la d</w:t>
      </w:r>
      <w:r>
        <w:t>écarbonation de l’industrie</w:t>
      </w:r>
      <w:r w:rsidR="00866AA5">
        <w:t>, notamment dans sa destination 3</w:t>
      </w:r>
      <w:r>
        <w:t xml:space="preserve"> </w:t>
      </w:r>
      <w:r w:rsidR="00866AA5">
        <w:t>(</w:t>
      </w:r>
      <w:r>
        <w:t>vi</w:t>
      </w:r>
      <w:r w:rsidR="007B3E20">
        <w:t>sant</w:t>
      </w:r>
      <w:r>
        <w:t xml:space="preserve"> la capture et l’utilisation du CO2, </w:t>
      </w:r>
      <w:r w:rsidR="0003124D">
        <w:t>et</w:t>
      </w:r>
      <w:r w:rsidR="002A4F31">
        <w:t xml:space="preserve"> </w:t>
      </w:r>
      <w:r>
        <w:t>visant principalement les secteurs très émetteurs de GES (pétrole, acier, ciment, etc.)</w:t>
      </w:r>
      <w:r w:rsidR="00866AA5">
        <w:t>) mais aussi dans sa destination 4 (valorisation/conversion de la chaleur excédentaire</w:t>
      </w:r>
      <w:r w:rsidR="004B2677">
        <w:t>, ou développement du stockage thermique</w:t>
      </w:r>
      <w:r w:rsidR="00866AA5">
        <w:t>).</w:t>
      </w:r>
    </w:p>
    <w:p w14:paraId="5DB2157F" w14:textId="77777777" w:rsidR="00592F07" w:rsidRDefault="00592F07" w:rsidP="00F838CD">
      <w:pPr>
        <w:jc w:val="both"/>
      </w:pPr>
    </w:p>
    <w:p w14:paraId="5FA2FC3F" w14:textId="00F9ACF6" w:rsidR="007051C1" w:rsidRDefault="007051C1" w:rsidP="00F838CD">
      <w:pPr>
        <w:jc w:val="both"/>
      </w:pPr>
      <w:r>
        <w:t xml:space="preserve">Répartition du budget du pilier 2 entre les 6 différents clusters : </w:t>
      </w:r>
    </w:p>
    <w:p w14:paraId="7F58F35F" w14:textId="145DB5EE" w:rsidR="007051C1" w:rsidRDefault="007051C1" w:rsidP="00F838CD">
      <w:pPr>
        <w:jc w:val="both"/>
      </w:pPr>
      <w:r>
        <w:rPr>
          <w:b/>
          <w:bCs/>
          <w:noProof/>
        </w:rPr>
        <w:drawing>
          <wp:inline distT="0" distB="0" distL="0" distR="0" wp14:anchorId="6A1929B9" wp14:editId="30A4C00B">
            <wp:extent cx="6654978" cy="4472940"/>
            <wp:effectExtent l="0" t="0" r="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1">
                      <a:extLst>
                        <a:ext uri="{28A0092B-C50C-407E-A947-70E740481C1C}">
                          <a14:useLocalDpi xmlns:a14="http://schemas.microsoft.com/office/drawing/2010/main" val="0"/>
                        </a:ext>
                      </a:extLst>
                    </a:blip>
                    <a:stretch>
                      <a:fillRect/>
                    </a:stretch>
                  </pic:blipFill>
                  <pic:spPr>
                    <a:xfrm>
                      <a:off x="0" y="0"/>
                      <a:ext cx="6655639" cy="4473384"/>
                    </a:xfrm>
                    <a:prstGeom prst="rect">
                      <a:avLst/>
                    </a:prstGeom>
                  </pic:spPr>
                </pic:pic>
              </a:graphicData>
            </a:graphic>
          </wp:inline>
        </w:drawing>
      </w:r>
    </w:p>
    <w:p w14:paraId="50AED0E4" w14:textId="77777777" w:rsidR="00211C1C" w:rsidRPr="00C8309E" w:rsidRDefault="00211C1C" w:rsidP="00211C1C">
      <w:pPr>
        <w:jc w:val="both"/>
        <w:rPr>
          <w:i/>
          <w:iCs/>
          <w:sz w:val="20"/>
          <w:szCs w:val="20"/>
        </w:rPr>
      </w:pPr>
      <w:r w:rsidRPr="00C8309E">
        <w:rPr>
          <w:i/>
          <w:iCs/>
          <w:sz w:val="20"/>
          <w:szCs w:val="20"/>
        </w:rPr>
        <w:t>Source : https://www.horizon-europe.gouv.fr/sites/default/files/2021-02/horizon-europe---pr-sentation-2551.pdf</w:t>
      </w:r>
    </w:p>
    <w:p w14:paraId="26AFCD03" w14:textId="5D908874" w:rsidR="007051C1" w:rsidRDefault="007051C1" w:rsidP="00F838CD">
      <w:pPr>
        <w:jc w:val="both"/>
      </w:pPr>
    </w:p>
    <w:p w14:paraId="0CCFAAE0" w14:textId="3B68302D" w:rsidR="00592F07" w:rsidRDefault="00592F07">
      <w:r>
        <w:br w:type="page"/>
      </w:r>
    </w:p>
    <w:p w14:paraId="270D0172" w14:textId="77777777" w:rsidR="00211C1C" w:rsidRDefault="00211C1C" w:rsidP="00F838CD">
      <w:pPr>
        <w:jc w:val="both"/>
      </w:pPr>
    </w:p>
    <w:p w14:paraId="117FA9E4" w14:textId="27351301" w:rsidR="00211C1C" w:rsidRDefault="00812CF1" w:rsidP="00A322A4">
      <w:pPr>
        <w:pStyle w:val="Paragraphedeliste"/>
        <w:numPr>
          <w:ilvl w:val="0"/>
          <w:numId w:val="26"/>
        </w:numPr>
        <w:jc w:val="both"/>
      </w:pPr>
      <w:r w:rsidRPr="00A322A4">
        <w:rPr>
          <w:b/>
          <w:bCs/>
          <w:u w:val="single"/>
        </w:rPr>
        <w:t>Thématiques et priorités</w:t>
      </w:r>
      <w:r>
        <w:t> :</w:t>
      </w:r>
    </w:p>
    <w:p w14:paraId="3A26D49F" w14:textId="7EB7A7A2" w:rsidR="00812CF1" w:rsidRDefault="00812CF1" w:rsidP="00F838CD">
      <w:pPr>
        <w:jc w:val="both"/>
      </w:pPr>
    </w:p>
    <w:p w14:paraId="08EDE771" w14:textId="6FEF4A57" w:rsidR="00812CF1" w:rsidRDefault="00812CF1" w:rsidP="00F838CD">
      <w:pPr>
        <w:jc w:val="both"/>
      </w:pPr>
      <w:r>
        <w:t xml:space="preserve">Le Cluster 4 comprend 10 « Destinations », ou grandes thématiques, dans lesquelles se trouvent les appels à projets. Les thématiques suivantes sont donc les </w:t>
      </w:r>
      <w:r w:rsidR="000A39CF">
        <w:t>10</w:t>
      </w:r>
      <w:r>
        <w:t xml:space="preserve"> thématiques qui seront recherchées par la Commission pour la période 2021-2027 :</w:t>
      </w:r>
    </w:p>
    <w:p w14:paraId="5411E763" w14:textId="7DE7B181" w:rsidR="00812CF1" w:rsidRPr="00812CF1" w:rsidRDefault="00812CF1" w:rsidP="00812CF1">
      <w:pPr>
        <w:numPr>
          <w:ilvl w:val="0"/>
          <w:numId w:val="25"/>
        </w:numPr>
        <w:spacing w:before="100" w:beforeAutospacing="1" w:after="100" w:afterAutospacing="1"/>
        <w:rPr>
          <w:rFonts w:asciiTheme="majorHAnsi" w:eastAsia="Times New Roman" w:hAnsiTheme="majorHAnsi" w:cs="Times New Roman"/>
        </w:rPr>
      </w:pPr>
      <w:r w:rsidRPr="00812CF1">
        <w:rPr>
          <w:rFonts w:asciiTheme="majorHAnsi" w:eastAsia="Times New Roman" w:hAnsiTheme="majorHAnsi" w:cs="Times New Roman"/>
        </w:rPr>
        <w:t>Technologies de fabrication</w:t>
      </w:r>
      <w:r w:rsidR="000A39CF">
        <w:rPr>
          <w:rFonts w:asciiTheme="majorHAnsi" w:eastAsia="Times New Roman" w:hAnsiTheme="majorHAnsi" w:cs="Times New Roman"/>
        </w:rPr>
        <w:t xml:space="preserve"> neutres en carbone, circulaires et digitales</w:t>
      </w:r>
      <w:r w:rsidRPr="00812CF1">
        <w:rPr>
          <w:rFonts w:asciiTheme="majorHAnsi" w:eastAsia="Times New Roman" w:hAnsiTheme="majorHAnsi" w:cs="Times New Roman"/>
        </w:rPr>
        <w:t xml:space="preserve"> ;</w:t>
      </w:r>
    </w:p>
    <w:p w14:paraId="4DE6B660" w14:textId="31D2E0D9" w:rsidR="00812CF1" w:rsidRPr="00812CF1" w:rsidRDefault="00812CF1" w:rsidP="00812CF1">
      <w:pPr>
        <w:numPr>
          <w:ilvl w:val="0"/>
          <w:numId w:val="25"/>
        </w:numPr>
        <w:spacing w:before="100" w:beforeAutospacing="1" w:after="100" w:afterAutospacing="1"/>
        <w:rPr>
          <w:rFonts w:asciiTheme="majorHAnsi" w:eastAsia="Times New Roman" w:hAnsiTheme="majorHAnsi" w:cs="Times New Roman"/>
        </w:rPr>
      </w:pPr>
      <w:r w:rsidRPr="00812CF1">
        <w:rPr>
          <w:rFonts w:asciiTheme="majorHAnsi" w:eastAsia="Times New Roman" w:hAnsiTheme="majorHAnsi" w:cs="Times New Roman"/>
        </w:rPr>
        <w:t>Technologies clés numériques</w:t>
      </w:r>
      <w:r w:rsidR="0003124D">
        <w:rPr>
          <w:rFonts w:asciiTheme="majorHAnsi" w:eastAsia="Times New Roman" w:hAnsiTheme="majorHAnsi" w:cs="Times New Roman"/>
        </w:rPr>
        <w:t xml:space="preserve"> </w:t>
      </w:r>
      <w:r w:rsidRPr="00812CF1">
        <w:rPr>
          <w:rFonts w:asciiTheme="majorHAnsi" w:eastAsia="Times New Roman" w:hAnsiTheme="majorHAnsi" w:cs="Times New Roman"/>
        </w:rPr>
        <w:t>;</w:t>
      </w:r>
    </w:p>
    <w:p w14:paraId="26EF72EB" w14:textId="77777777" w:rsidR="00812CF1" w:rsidRPr="00812CF1" w:rsidRDefault="00812CF1" w:rsidP="00812CF1">
      <w:pPr>
        <w:numPr>
          <w:ilvl w:val="0"/>
          <w:numId w:val="25"/>
        </w:numPr>
        <w:spacing w:before="100" w:beforeAutospacing="1" w:after="100" w:afterAutospacing="1"/>
        <w:rPr>
          <w:rFonts w:asciiTheme="majorHAnsi" w:eastAsia="Times New Roman" w:hAnsiTheme="majorHAnsi" w:cs="Times New Roman"/>
        </w:rPr>
      </w:pPr>
      <w:r w:rsidRPr="00812CF1">
        <w:rPr>
          <w:rFonts w:asciiTheme="majorHAnsi" w:eastAsia="Times New Roman" w:hAnsiTheme="majorHAnsi" w:cs="Times New Roman"/>
        </w:rPr>
        <w:t>Technologies génériques émergentes ;</w:t>
      </w:r>
    </w:p>
    <w:p w14:paraId="4B186661" w14:textId="77777777" w:rsidR="00812CF1" w:rsidRPr="00812CF1" w:rsidRDefault="00812CF1" w:rsidP="00812CF1">
      <w:pPr>
        <w:numPr>
          <w:ilvl w:val="0"/>
          <w:numId w:val="25"/>
        </w:numPr>
        <w:spacing w:before="100" w:beforeAutospacing="1" w:after="100" w:afterAutospacing="1"/>
        <w:rPr>
          <w:rFonts w:asciiTheme="majorHAnsi" w:eastAsia="Times New Roman" w:hAnsiTheme="majorHAnsi" w:cs="Times New Roman"/>
        </w:rPr>
      </w:pPr>
      <w:r w:rsidRPr="00812CF1">
        <w:rPr>
          <w:rFonts w:asciiTheme="majorHAnsi" w:eastAsia="Times New Roman" w:hAnsiTheme="majorHAnsi" w:cs="Times New Roman"/>
        </w:rPr>
        <w:t>Matériaux avancés ;</w:t>
      </w:r>
    </w:p>
    <w:p w14:paraId="021C7C3F" w14:textId="77777777" w:rsidR="00812CF1" w:rsidRPr="00812CF1" w:rsidRDefault="00812CF1" w:rsidP="00812CF1">
      <w:pPr>
        <w:numPr>
          <w:ilvl w:val="0"/>
          <w:numId w:val="25"/>
        </w:numPr>
        <w:spacing w:before="100" w:beforeAutospacing="1" w:after="100" w:afterAutospacing="1"/>
        <w:rPr>
          <w:rFonts w:asciiTheme="majorHAnsi" w:eastAsia="Times New Roman" w:hAnsiTheme="majorHAnsi" w:cs="Times New Roman"/>
        </w:rPr>
      </w:pPr>
      <w:r w:rsidRPr="00812CF1">
        <w:rPr>
          <w:rFonts w:asciiTheme="majorHAnsi" w:eastAsia="Times New Roman" w:hAnsiTheme="majorHAnsi" w:cs="Times New Roman"/>
        </w:rPr>
        <w:t>Intelligence artificielle et robotique ;</w:t>
      </w:r>
    </w:p>
    <w:p w14:paraId="19D72AAC" w14:textId="77777777" w:rsidR="00812CF1" w:rsidRPr="00812CF1" w:rsidRDefault="00812CF1" w:rsidP="00812CF1">
      <w:pPr>
        <w:numPr>
          <w:ilvl w:val="0"/>
          <w:numId w:val="25"/>
        </w:numPr>
        <w:spacing w:before="100" w:beforeAutospacing="1" w:after="100" w:afterAutospacing="1"/>
        <w:rPr>
          <w:rFonts w:asciiTheme="majorHAnsi" w:eastAsia="Times New Roman" w:hAnsiTheme="majorHAnsi" w:cs="Times New Roman"/>
        </w:rPr>
      </w:pPr>
      <w:r w:rsidRPr="00812CF1">
        <w:rPr>
          <w:rFonts w:asciiTheme="majorHAnsi" w:eastAsia="Times New Roman" w:hAnsiTheme="majorHAnsi" w:cs="Times New Roman"/>
        </w:rPr>
        <w:t>Internet de nouvelle génération ;</w:t>
      </w:r>
    </w:p>
    <w:p w14:paraId="6E8CBB49" w14:textId="77777777" w:rsidR="00812CF1" w:rsidRPr="00812CF1" w:rsidRDefault="00812CF1" w:rsidP="00812CF1">
      <w:pPr>
        <w:numPr>
          <w:ilvl w:val="0"/>
          <w:numId w:val="25"/>
        </w:numPr>
        <w:spacing w:before="100" w:beforeAutospacing="1" w:after="100" w:afterAutospacing="1"/>
        <w:rPr>
          <w:rFonts w:asciiTheme="majorHAnsi" w:eastAsia="Times New Roman" w:hAnsiTheme="majorHAnsi" w:cs="Times New Roman"/>
        </w:rPr>
      </w:pPr>
      <w:r w:rsidRPr="00812CF1">
        <w:rPr>
          <w:rFonts w:asciiTheme="majorHAnsi" w:eastAsia="Times New Roman" w:hAnsiTheme="majorHAnsi" w:cs="Times New Roman"/>
        </w:rPr>
        <w:t>Informatique de pointe et mégadonnées ;</w:t>
      </w:r>
    </w:p>
    <w:p w14:paraId="27F9D635" w14:textId="77777777" w:rsidR="00812CF1" w:rsidRPr="00812CF1" w:rsidRDefault="00812CF1" w:rsidP="00812CF1">
      <w:pPr>
        <w:numPr>
          <w:ilvl w:val="0"/>
          <w:numId w:val="25"/>
        </w:numPr>
        <w:spacing w:before="100" w:beforeAutospacing="1" w:after="100" w:afterAutospacing="1"/>
        <w:rPr>
          <w:rFonts w:asciiTheme="majorHAnsi" w:eastAsia="Times New Roman" w:hAnsiTheme="majorHAnsi" w:cs="Times New Roman"/>
        </w:rPr>
      </w:pPr>
      <w:r w:rsidRPr="00812CF1">
        <w:rPr>
          <w:rFonts w:asciiTheme="majorHAnsi" w:eastAsia="Times New Roman" w:hAnsiTheme="majorHAnsi" w:cs="Times New Roman"/>
        </w:rPr>
        <w:t>Industries circulaires ;</w:t>
      </w:r>
    </w:p>
    <w:p w14:paraId="369B7E4E" w14:textId="77777777" w:rsidR="00812CF1" w:rsidRPr="00812CF1" w:rsidRDefault="00812CF1" w:rsidP="00812CF1">
      <w:pPr>
        <w:numPr>
          <w:ilvl w:val="0"/>
          <w:numId w:val="25"/>
        </w:numPr>
        <w:spacing w:before="100" w:beforeAutospacing="1" w:after="100" w:afterAutospacing="1"/>
        <w:rPr>
          <w:rFonts w:asciiTheme="majorHAnsi" w:eastAsia="Times New Roman" w:hAnsiTheme="majorHAnsi" w:cs="Times New Roman"/>
        </w:rPr>
      </w:pPr>
      <w:r w:rsidRPr="00812CF1">
        <w:rPr>
          <w:rFonts w:asciiTheme="majorHAnsi" w:eastAsia="Times New Roman" w:hAnsiTheme="majorHAnsi" w:cs="Times New Roman"/>
        </w:rPr>
        <w:t>Industries propres et à faible intensité de carbone ;</w:t>
      </w:r>
    </w:p>
    <w:p w14:paraId="06494204" w14:textId="77777777" w:rsidR="00812CF1" w:rsidRPr="00812CF1" w:rsidRDefault="00812CF1" w:rsidP="00812CF1">
      <w:pPr>
        <w:numPr>
          <w:ilvl w:val="0"/>
          <w:numId w:val="25"/>
        </w:numPr>
        <w:spacing w:before="100" w:beforeAutospacing="1" w:after="100" w:afterAutospacing="1"/>
        <w:rPr>
          <w:rFonts w:asciiTheme="majorHAnsi" w:eastAsia="Times New Roman" w:hAnsiTheme="majorHAnsi" w:cs="Times New Roman"/>
        </w:rPr>
      </w:pPr>
      <w:r w:rsidRPr="00812CF1">
        <w:rPr>
          <w:rFonts w:asciiTheme="majorHAnsi" w:eastAsia="Times New Roman" w:hAnsiTheme="majorHAnsi" w:cs="Times New Roman"/>
        </w:rPr>
        <w:t>Espace, y compris observation de la Terre.</w:t>
      </w:r>
    </w:p>
    <w:p w14:paraId="4E49E72C" w14:textId="4A03E583" w:rsidR="00E26C00" w:rsidRDefault="002F062C" w:rsidP="00592F07">
      <w:pPr>
        <w:jc w:val="both"/>
      </w:pPr>
      <w:r>
        <w:t>Parmi ces destinations, seules le</w:t>
      </w:r>
      <w:r w:rsidR="008C667C">
        <w:t>s</w:t>
      </w:r>
      <w:r>
        <w:t xml:space="preserve"> destinations 1, </w:t>
      </w:r>
      <w:r w:rsidR="00301363">
        <w:t xml:space="preserve">3, </w:t>
      </w:r>
      <w:r>
        <w:t>4</w:t>
      </w:r>
      <w:r w:rsidR="008C667C">
        <w:t>, 5</w:t>
      </w:r>
      <w:r>
        <w:t xml:space="preserve">, 8 et 9 correspondent à des objectifs environnementaux, </w:t>
      </w:r>
      <w:r w:rsidR="0003124D">
        <w:t>et sont décrits ci-après</w:t>
      </w:r>
      <w:r>
        <w:t xml:space="preserve">. Pour plus d’information sur les différentes destinations, voir </w:t>
      </w:r>
      <w:hyperlink r:id="rId12" w:history="1">
        <w:r w:rsidRPr="002F062C">
          <w:rPr>
            <w:rStyle w:val="Lienhypertexte"/>
          </w:rPr>
          <w:t>ici</w:t>
        </w:r>
      </w:hyperlink>
      <w:r>
        <w:t>.</w:t>
      </w:r>
    </w:p>
    <w:p w14:paraId="35011769" w14:textId="77777777" w:rsidR="00E26C00" w:rsidRDefault="00E26C00" w:rsidP="0067672C">
      <w:pPr>
        <w:pBdr>
          <w:top w:val="nil"/>
          <w:left w:val="nil"/>
          <w:bottom w:val="nil"/>
          <w:right w:val="nil"/>
          <w:between w:val="nil"/>
        </w:pBdr>
        <w:tabs>
          <w:tab w:val="left" w:pos="1307"/>
        </w:tabs>
        <w:jc w:val="both"/>
      </w:pPr>
    </w:p>
    <w:p w14:paraId="7B7EBF25" w14:textId="1288C0D0" w:rsidR="00D81665" w:rsidRPr="00BB387A" w:rsidRDefault="00D81665" w:rsidP="0067672C">
      <w:pPr>
        <w:pBdr>
          <w:top w:val="nil"/>
          <w:left w:val="nil"/>
          <w:bottom w:val="nil"/>
          <w:right w:val="nil"/>
          <w:between w:val="nil"/>
        </w:pBdr>
        <w:tabs>
          <w:tab w:val="left" w:pos="1307"/>
        </w:tabs>
        <w:jc w:val="both"/>
        <w:rPr>
          <w:b/>
          <w:bCs/>
          <w:u w:val="single"/>
        </w:rPr>
      </w:pPr>
      <w:r w:rsidRPr="00BB387A">
        <w:rPr>
          <w:b/>
          <w:bCs/>
          <w:u w:val="single"/>
        </w:rPr>
        <w:t>Destination 1 – Technologies de fabrication</w:t>
      </w:r>
      <w:r w:rsidR="000A39CF" w:rsidRPr="00BB387A">
        <w:rPr>
          <w:b/>
          <w:bCs/>
          <w:u w:val="single"/>
        </w:rPr>
        <w:t xml:space="preserve"> (« </w:t>
      </w:r>
      <w:proofErr w:type="spellStart"/>
      <w:r w:rsidR="000A39CF" w:rsidRPr="00BB387A">
        <w:rPr>
          <w:b/>
          <w:bCs/>
          <w:i/>
          <w:iCs/>
          <w:u w:val="single"/>
        </w:rPr>
        <w:t>Climate</w:t>
      </w:r>
      <w:proofErr w:type="spellEnd"/>
      <w:r w:rsidR="000A39CF" w:rsidRPr="00BB387A">
        <w:rPr>
          <w:b/>
          <w:bCs/>
          <w:i/>
          <w:iCs/>
          <w:u w:val="single"/>
        </w:rPr>
        <w:t xml:space="preserve"> neutral, </w:t>
      </w:r>
      <w:proofErr w:type="spellStart"/>
      <w:r w:rsidR="000A39CF" w:rsidRPr="00BB387A">
        <w:rPr>
          <w:b/>
          <w:bCs/>
          <w:i/>
          <w:iCs/>
          <w:u w:val="single"/>
        </w:rPr>
        <w:t>circular</w:t>
      </w:r>
      <w:proofErr w:type="spellEnd"/>
      <w:r w:rsidR="000A39CF" w:rsidRPr="00BB387A">
        <w:rPr>
          <w:b/>
          <w:bCs/>
          <w:i/>
          <w:iCs/>
          <w:u w:val="single"/>
        </w:rPr>
        <w:t xml:space="preserve"> and </w:t>
      </w:r>
      <w:proofErr w:type="spellStart"/>
      <w:r w:rsidR="000A39CF" w:rsidRPr="00BB387A">
        <w:rPr>
          <w:b/>
          <w:bCs/>
          <w:i/>
          <w:iCs/>
          <w:u w:val="single"/>
        </w:rPr>
        <w:t>digitised</w:t>
      </w:r>
      <w:proofErr w:type="spellEnd"/>
      <w:r w:rsidR="000A39CF" w:rsidRPr="00BB387A">
        <w:rPr>
          <w:b/>
          <w:bCs/>
          <w:i/>
          <w:iCs/>
          <w:u w:val="single"/>
        </w:rPr>
        <w:t xml:space="preserve"> production</w:t>
      </w:r>
      <w:r w:rsidR="000A39CF" w:rsidRPr="00BB387A">
        <w:rPr>
          <w:b/>
          <w:bCs/>
          <w:u w:val="single"/>
        </w:rPr>
        <w:t> »)</w:t>
      </w:r>
    </w:p>
    <w:p w14:paraId="439735E4" w14:textId="1AFB436C" w:rsidR="00D81665" w:rsidRDefault="00D81665" w:rsidP="0067672C">
      <w:pPr>
        <w:pBdr>
          <w:top w:val="nil"/>
          <w:left w:val="nil"/>
          <w:bottom w:val="nil"/>
          <w:right w:val="nil"/>
          <w:between w:val="nil"/>
        </w:pBdr>
        <w:tabs>
          <w:tab w:val="left" w:pos="1307"/>
        </w:tabs>
        <w:jc w:val="both"/>
      </w:pPr>
    </w:p>
    <w:p w14:paraId="16203F81" w14:textId="26DF09A2" w:rsidR="00B205E6" w:rsidRDefault="00B205E6" w:rsidP="0067672C">
      <w:pPr>
        <w:pBdr>
          <w:top w:val="nil"/>
          <w:left w:val="nil"/>
          <w:bottom w:val="nil"/>
          <w:right w:val="nil"/>
          <w:between w:val="nil"/>
        </w:pBdr>
        <w:tabs>
          <w:tab w:val="left" w:pos="1307"/>
        </w:tabs>
        <w:jc w:val="both"/>
      </w:pPr>
      <w:r w:rsidRPr="00B205E6">
        <w:t>L'industrie</w:t>
      </w:r>
      <w:r>
        <w:t xml:space="preserve"> </w:t>
      </w:r>
      <w:r w:rsidRPr="00B205E6">
        <w:t>manufacturière</w:t>
      </w:r>
      <w:r>
        <w:t xml:space="preserve"> </w:t>
      </w:r>
      <w:r w:rsidRPr="00B205E6">
        <w:t>est</w:t>
      </w:r>
      <w:r>
        <w:t xml:space="preserve"> </w:t>
      </w:r>
      <w:r w:rsidRPr="00B205E6">
        <w:t>un moteur</w:t>
      </w:r>
      <w:r>
        <w:t xml:space="preserve"> </w:t>
      </w:r>
      <w:r w:rsidRPr="00B205E6">
        <w:t>essentiel</w:t>
      </w:r>
      <w:r>
        <w:t xml:space="preserve"> </w:t>
      </w:r>
      <w:r w:rsidRPr="00B205E6">
        <w:t>de l'emploi</w:t>
      </w:r>
      <w:r>
        <w:t xml:space="preserve"> </w:t>
      </w:r>
      <w:r w:rsidRPr="00B205E6">
        <w:t>et de la prospérité</w:t>
      </w:r>
      <w:r>
        <w:t xml:space="preserve"> </w:t>
      </w:r>
      <w:r w:rsidRPr="00B205E6">
        <w:t>dans</w:t>
      </w:r>
      <w:r>
        <w:t xml:space="preserve"> </w:t>
      </w:r>
      <w:r w:rsidRPr="00B205E6">
        <w:t>l'UE. Elle représente</w:t>
      </w:r>
      <w:r>
        <w:t xml:space="preserve"> </w:t>
      </w:r>
      <w:r w:rsidRPr="00B205E6">
        <w:t>plus de trois quarts des exportations mondiales</w:t>
      </w:r>
      <w:r>
        <w:t xml:space="preserve"> </w:t>
      </w:r>
      <w:r w:rsidRPr="00B205E6">
        <w:t>de l'UE</w:t>
      </w:r>
      <w:r>
        <w:t xml:space="preserve"> </w:t>
      </w:r>
      <w:r w:rsidRPr="00B205E6">
        <w:t>et plus de 100 millions d'emplois</w:t>
      </w:r>
      <w:r>
        <w:t xml:space="preserve"> </w:t>
      </w:r>
      <w:r w:rsidRPr="00B205E6">
        <w:t>directs et indirects.</w:t>
      </w:r>
      <w:r>
        <w:t xml:space="preserve"> </w:t>
      </w:r>
      <w:r w:rsidRPr="00B205E6">
        <w:t>Le programme Horizon Europe devra accompagner le développement des technologies suivantes</w:t>
      </w:r>
      <w:r>
        <w:t xml:space="preserve"> </w:t>
      </w:r>
      <w:r w:rsidRPr="00B205E6">
        <w:t>:</w:t>
      </w:r>
    </w:p>
    <w:p w14:paraId="61F5A047" w14:textId="61AD8A38" w:rsidR="00B205E6" w:rsidRDefault="00B205E6" w:rsidP="00B205E6">
      <w:pPr>
        <w:pStyle w:val="Paragraphedeliste"/>
        <w:numPr>
          <w:ilvl w:val="0"/>
          <w:numId w:val="27"/>
        </w:numPr>
        <w:pBdr>
          <w:top w:val="nil"/>
          <w:left w:val="nil"/>
          <w:bottom w:val="nil"/>
          <w:right w:val="nil"/>
          <w:between w:val="nil"/>
        </w:pBdr>
        <w:tabs>
          <w:tab w:val="left" w:pos="1307"/>
        </w:tabs>
        <w:jc w:val="both"/>
      </w:pPr>
      <w:r w:rsidRPr="00B205E6">
        <w:t>Technologies de fabrication de pointe telles</w:t>
      </w:r>
      <w:r>
        <w:t xml:space="preserve"> </w:t>
      </w:r>
      <w:r w:rsidRPr="00B205E6">
        <w:t>que la production biotechnologique, la fabrication additive, la robotique</w:t>
      </w:r>
      <w:r>
        <w:t xml:space="preserve"> </w:t>
      </w:r>
      <w:r w:rsidRPr="00B205E6">
        <w:t>industrielle, collaborative, flexible et intelligente</w:t>
      </w:r>
      <w:r w:rsidR="0003124D">
        <w:t> ;</w:t>
      </w:r>
    </w:p>
    <w:p w14:paraId="1CDFEA69" w14:textId="49C31493" w:rsidR="00B205E6" w:rsidRDefault="00B205E6" w:rsidP="00B205E6">
      <w:pPr>
        <w:pStyle w:val="Paragraphedeliste"/>
        <w:numPr>
          <w:ilvl w:val="0"/>
          <w:numId w:val="27"/>
        </w:numPr>
        <w:pBdr>
          <w:top w:val="nil"/>
          <w:left w:val="nil"/>
          <w:bottom w:val="nil"/>
          <w:right w:val="nil"/>
          <w:between w:val="nil"/>
        </w:pBdr>
        <w:tabs>
          <w:tab w:val="left" w:pos="1307"/>
        </w:tabs>
        <w:jc w:val="both"/>
      </w:pPr>
      <w:r w:rsidRPr="00B205E6">
        <w:t>Innovations radicales</w:t>
      </w:r>
      <w:r>
        <w:t xml:space="preserve"> </w:t>
      </w:r>
      <w:r w:rsidRPr="00B205E6">
        <w:t>fondées</w:t>
      </w:r>
      <w:r>
        <w:t xml:space="preserve"> </w:t>
      </w:r>
      <w:r w:rsidRPr="00B205E6">
        <w:t>sur différentes</w:t>
      </w:r>
      <w:r>
        <w:t xml:space="preserve"> </w:t>
      </w:r>
      <w:r w:rsidRPr="00B205E6">
        <w:t>technologies génériques</w:t>
      </w:r>
      <w:r>
        <w:t xml:space="preserve"> </w:t>
      </w:r>
      <w:r w:rsidRPr="00B205E6">
        <w:t>dans</w:t>
      </w:r>
      <w:r>
        <w:t xml:space="preserve"> </w:t>
      </w:r>
      <w:r w:rsidRPr="00B205E6">
        <w:t>l'ensemble</w:t>
      </w:r>
      <w:r>
        <w:t xml:space="preserve"> </w:t>
      </w:r>
      <w:r w:rsidRPr="00B205E6">
        <w:t>de la chaîne</w:t>
      </w:r>
      <w:r>
        <w:t xml:space="preserve"> </w:t>
      </w:r>
      <w:r w:rsidRPr="00B205E6">
        <w:t>de valeur, par exemple</w:t>
      </w:r>
      <w:r>
        <w:t xml:space="preserve"> </w:t>
      </w:r>
      <w:r w:rsidRPr="00B205E6">
        <w:t>les technologies convergentes, l'intelligence</w:t>
      </w:r>
      <w:r>
        <w:t xml:space="preserve"> </w:t>
      </w:r>
      <w:r w:rsidRPr="00B205E6">
        <w:t>artificielle</w:t>
      </w:r>
      <w:r w:rsidR="0003124D">
        <w:t> ;</w:t>
      </w:r>
    </w:p>
    <w:p w14:paraId="031E2BED" w14:textId="1175A931" w:rsidR="00B205E6" w:rsidRPr="00301363" w:rsidRDefault="00B205E6" w:rsidP="00B205E6">
      <w:pPr>
        <w:pStyle w:val="Paragraphedeliste"/>
        <w:numPr>
          <w:ilvl w:val="0"/>
          <w:numId w:val="27"/>
        </w:numPr>
        <w:pBdr>
          <w:top w:val="nil"/>
          <w:left w:val="nil"/>
          <w:bottom w:val="nil"/>
          <w:right w:val="nil"/>
          <w:between w:val="nil"/>
        </w:pBdr>
        <w:tabs>
          <w:tab w:val="left" w:pos="1307"/>
        </w:tabs>
        <w:jc w:val="both"/>
        <w:rPr>
          <w:b/>
          <w:bCs/>
        </w:rPr>
      </w:pPr>
      <w:r w:rsidRPr="00B205E6">
        <w:t>Usines</w:t>
      </w:r>
      <w:r>
        <w:t xml:space="preserve"> </w:t>
      </w:r>
      <w:r w:rsidRPr="00B205E6">
        <w:t>cognitives</w:t>
      </w:r>
      <w:r>
        <w:t xml:space="preserve"> </w:t>
      </w:r>
      <w:r w:rsidRPr="00B205E6">
        <w:t>souples, de haute précision, "zéro</w:t>
      </w:r>
      <w:r>
        <w:t xml:space="preserve"> </w:t>
      </w:r>
      <w:r w:rsidRPr="00B205E6">
        <w:t xml:space="preserve">défaut", </w:t>
      </w:r>
      <w:r w:rsidRPr="00301363">
        <w:rPr>
          <w:b/>
          <w:bCs/>
        </w:rPr>
        <w:t>peu polluantes, produisant peu de déchets, durables et climatiquement neutres</w:t>
      </w:r>
      <w:r w:rsidR="0003124D">
        <w:t> ;</w:t>
      </w:r>
    </w:p>
    <w:p w14:paraId="174C4660" w14:textId="422508A8" w:rsidR="000A39CF" w:rsidRDefault="00B205E6" w:rsidP="004D5118">
      <w:pPr>
        <w:pStyle w:val="Paragraphedeliste"/>
        <w:numPr>
          <w:ilvl w:val="0"/>
          <w:numId w:val="27"/>
        </w:numPr>
        <w:pBdr>
          <w:top w:val="nil"/>
          <w:left w:val="nil"/>
          <w:bottom w:val="nil"/>
          <w:right w:val="nil"/>
          <w:between w:val="nil"/>
        </w:pBdr>
        <w:tabs>
          <w:tab w:val="left" w:pos="1307"/>
        </w:tabs>
        <w:jc w:val="both"/>
      </w:pPr>
      <w:r w:rsidRPr="00B205E6">
        <w:t>Innovations radicales</w:t>
      </w:r>
      <w:r>
        <w:t xml:space="preserve"> </w:t>
      </w:r>
      <w:r w:rsidRPr="00B205E6">
        <w:t>dans</w:t>
      </w:r>
      <w:r>
        <w:t xml:space="preserve"> </w:t>
      </w:r>
      <w:r w:rsidRPr="00B205E6">
        <w:t>les techniques pour l'exploration</w:t>
      </w:r>
      <w:r>
        <w:t xml:space="preserve"> </w:t>
      </w:r>
      <w:r w:rsidRPr="00B205E6">
        <w:t>de sites de construction, l'automatisation</w:t>
      </w:r>
      <w:r>
        <w:t xml:space="preserve"> </w:t>
      </w:r>
      <w:r w:rsidRPr="00B205E6">
        <w:t>complète</w:t>
      </w:r>
      <w:r>
        <w:t xml:space="preserve"> </w:t>
      </w:r>
      <w:r w:rsidRPr="00B205E6">
        <w:t>de l'assemblage</w:t>
      </w:r>
      <w:r>
        <w:t xml:space="preserve"> </w:t>
      </w:r>
      <w:r w:rsidRPr="00B205E6">
        <w:t>sur site et les éléments</w:t>
      </w:r>
      <w:r>
        <w:t xml:space="preserve"> </w:t>
      </w:r>
      <w:r w:rsidRPr="00B205E6">
        <w:t>préfabriqués.</w:t>
      </w:r>
    </w:p>
    <w:p w14:paraId="17FE87E5" w14:textId="77777777" w:rsidR="000A39CF" w:rsidRDefault="000A39CF" w:rsidP="004D5118">
      <w:pPr>
        <w:pBdr>
          <w:top w:val="nil"/>
          <w:left w:val="nil"/>
          <w:bottom w:val="nil"/>
          <w:right w:val="nil"/>
          <w:between w:val="nil"/>
        </w:pBdr>
        <w:tabs>
          <w:tab w:val="left" w:pos="1307"/>
        </w:tabs>
        <w:jc w:val="both"/>
      </w:pPr>
    </w:p>
    <w:p w14:paraId="3BEFACDF" w14:textId="77777777" w:rsidR="00301363" w:rsidRPr="00BB387A" w:rsidRDefault="00301363" w:rsidP="004D5118">
      <w:pPr>
        <w:pBdr>
          <w:top w:val="nil"/>
          <w:left w:val="nil"/>
          <w:bottom w:val="nil"/>
          <w:right w:val="nil"/>
          <w:between w:val="nil"/>
        </w:pBdr>
        <w:tabs>
          <w:tab w:val="left" w:pos="1307"/>
        </w:tabs>
        <w:jc w:val="both"/>
        <w:rPr>
          <w:b/>
          <w:bCs/>
          <w:u w:val="single"/>
        </w:rPr>
      </w:pPr>
      <w:r w:rsidRPr="00BB387A">
        <w:rPr>
          <w:b/>
          <w:bCs/>
          <w:u w:val="single"/>
        </w:rPr>
        <w:t xml:space="preserve">Destination 3 - Technologies génériques émergentes </w:t>
      </w:r>
    </w:p>
    <w:p w14:paraId="2BB49A19" w14:textId="77777777" w:rsidR="00301363" w:rsidRDefault="00301363" w:rsidP="004D5118">
      <w:pPr>
        <w:pBdr>
          <w:top w:val="nil"/>
          <w:left w:val="nil"/>
          <w:bottom w:val="nil"/>
          <w:right w:val="nil"/>
          <w:between w:val="nil"/>
        </w:pBdr>
        <w:tabs>
          <w:tab w:val="left" w:pos="1307"/>
        </w:tabs>
        <w:jc w:val="both"/>
      </w:pPr>
    </w:p>
    <w:p w14:paraId="26E99341" w14:textId="3CA77673" w:rsidR="00301363" w:rsidRDefault="00301363" w:rsidP="004D5118">
      <w:pPr>
        <w:pBdr>
          <w:top w:val="nil"/>
          <w:left w:val="nil"/>
          <w:bottom w:val="nil"/>
          <w:right w:val="nil"/>
          <w:between w:val="nil"/>
        </w:pBdr>
        <w:tabs>
          <w:tab w:val="left" w:pos="1307"/>
        </w:tabs>
        <w:jc w:val="both"/>
      </w:pPr>
      <w:r w:rsidRPr="00301363">
        <w:t xml:space="preserve">L'objectif est d'explorer de nouvelles technologies à basse maturité, essentielles pour renouveler les technologies obsolètes ou </w:t>
      </w:r>
      <w:r w:rsidR="00C44AFD">
        <w:t>ayant des impacts</w:t>
      </w:r>
      <w:r w:rsidRPr="00301363">
        <w:t xml:space="preserve"> environnementa</w:t>
      </w:r>
      <w:r w:rsidR="00C44AFD">
        <w:t>ux négatifs</w:t>
      </w:r>
      <w:r w:rsidRPr="00301363">
        <w:t>.</w:t>
      </w:r>
    </w:p>
    <w:p w14:paraId="7310FA37" w14:textId="16174474" w:rsidR="00301363" w:rsidRDefault="00301363" w:rsidP="004D5118">
      <w:pPr>
        <w:pBdr>
          <w:top w:val="nil"/>
          <w:left w:val="nil"/>
          <w:bottom w:val="nil"/>
          <w:right w:val="nil"/>
          <w:between w:val="nil"/>
        </w:pBdr>
        <w:tabs>
          <w:tab w:val="left" w:pos="1307"/>
        </w:tabs>
        <w:jc w:val="both"/>
      </w:pPr>
      <w:r w:rsidRPr="00301363">
        <w:t xml:space="preserve">À titre d'exemple, on peut considérer les technologies suivantes : </w:t>
      </w:r>
      <w:r w:rsidRPr="00301363">
        <w:rPr>
          <w:b/>
          <w:bCs/>
        </w:rPr>
        <w:t>les nouveaux matériaux</w:t>
      </w:r>
      <w:r w:rsidRPr="00301363">
        <w:t xml:space="preserve">, les technologies de l'information inspirées par les lois de la nature et la biologie, la convergence entre le numérique et le physique (ex. : </w:t>
      </w:r>
      <w:r w:rsidRPr="00301363">
        <w:rPr>
          <w:b/>
          <w:bCs/>
        </w:rPr>
        <w:t>mod</w:t>
      </w:r>
      <w:r w:rsidR="00C44AFD">
        <w:rPr>
          <w:b/>
          <w:bCs/>
        </w:rPr>
        <w:t>élisation</w:t>
      </w:r>
      <w:r w:rsidRPr="00301363">
        <w:rPr>
          <w:b/>
          <w:bCs/>
        </w:rPr>
        <w:t xml:space="preserve"> pour l'environnement</w:t>
      </w:r>
      <w:r w:rsidRPr="00301363">
        <w:t xml:space="preserve">, la chimie de la photosynthèse, </w:t>
      </w:r>
      <w:r w:rsidR="00C44AFD">
        <w:t>etc</w:t>
      </w:r>
      <w:r w:rsidRPr="00301363">
        <w:t>.)</w:t>
      </w:r>
      <w:r>
        <w:t xml:space="preserve"> </w:t>
      </w:r>
    </w:p>
    <w:p w14:paraId="680B8255" w14:textId="3D69DFBB" w:rsidR="004D5118" w:rsidRDefault="00301363" w:rsidP="004D5118">
      <w:pPr>
        <w:pBdr>
          <w:top w:val="nil"/>
          <w:left w:val="nil"/>
          <w:bottom w:val="nil"/>
          <w:right w:val="nil"/>
          <w:between w:val="nil"/>
        </w:pBdr>
        <w:tabs>
          <w:tab w:val="left" w:pos="1307"/>
        </w:tabs>
        <w:jc w:val="both"/>
      </w:pPr>
      <w:r w:rsidRPr="00301363">
        <w:t xml:space="preserve">Au-delà du financement de la recherche, l'objectif est de créer des synergies autour de communautés renforcées, combinées avec les capacités offertes par le pilier </w:t>
      </w:r>
      <w:r w:rsidR="0003124D">
        <w:t>3</w:t>
      </w:r>
      <w:r w:rsidR="00C44AFD">
        <w:t xml:space="preserve"> (cf</w:t>
      </w:r>
      <w:r w:rsidR="00DE493C">
        <w:t>.</w:t>
      </w:r>
      <w:r w:rsidR="00C44AFD">
        <w:t xml:space="preserve"> fiche dédiée)</w:t>
      </w:r>
      <w:r w:rsidRPr="00301363">
        <w:t xml:space="preserve"> pour offrir des possibilités d'industrialisation à moyen et long terme.</w:t>
      </w:r>
    </w:p>
    <w:p w14:paraId="4ED95859" w14:textId="031F36DC" w:rsidR="008548A0" w:rsidRDefault="008548A0" w:rsidP="004D5118">
      <w:pPr>
        <w:pBdr>
          <w:top w:val="nil"/>
          <w:left w:val="nil"/>
          <w:bottom w:val="nil"/>
          <w:right w:val="nil"/>
          <w:between w:val="nil"/>
        </w:pBdr>
        <w:tabs>
          <w:tab w:val="left" w:pos="1307"/>
        </w:tabs>
        <w:jc w:val="both"/>
      </w:pPr>
    </w:p>
    <w:p w14:paraId="18385B70" w14:textId="77777777" w:rsidR="008548A0" w:rsidRPr="00BB387A" w:rsidRDefault="008548A0" w:rsidP="004D5118">
      <w:pPr>
        <w:pBdr>
          <w:top w:val="nil"/>
          <w:left w:val="nil"/>
          <w:bottom w:val="nil"/>
          <w:right w:val="nil"/>
          <w:between w:val="nil"/>
        </w:pBdr>
        <w:tabs>
          <w:tab w:val="left" w:pos="1307"/>
        </w:tabs>
        <w:jc w:val="both"/>
        <w:rPr>
          <w:b/>
          <w:bCs/>
          <w:u w:val="single"/>
        </w:rPr>
      </w:pPr>
      <w:r w:rsidRPr="00BB387A">
        <w:rPr>
          <w:b/>
          <w:bCs/>
          <w:u w:val="single"/>
        </w:rPr>
        <w:t>Destination 4 - Matériaux avancés</w:t>
      </w:r>
    </w:p>
    <w:p w14:paraId="5C9959A8" w14:textId="77777777" w:rsidR="008548A0" w:rsidRDefault="008548A0" w:rsidP="004D5118">
      <w:pPr>
        <w:pBdr>
          <w:top w:val="nil"/>
          <w:left w:val="nil"/>
          <w:bottom w:val="nil"/>
          <w:right w:val="nil"/>
          <w:between w:val="nil"/>
        </w:pBdr>
        <w:tabs>
          <w:tab w:val="left" w:pos="1307"/>
        </w:tabs>
        <w:jc w:val="both"/>
      </w:pPr>
    </w:p>
    <w:p w14:paraId="0DAEFC2D" w14:textId="319976AE" w:rsidR="008548A0" w:rsidRDefault="008548A0" w:rsidP="004D5118">
      <w:pPr>
        <w:pBdr>
          <w:top w:val="nil"/>
          <w:left w:val="nil"/>
          <w:bottom w:val="nil"/>
          <w:right w:val="nil"/>
          <w:between w:val="nil"/>
        </w:pBdr>
        <w:tabs>
          <w:tab w:val="left" w:pos="1307"/>
        </w:tabs>
        <w:jc w:val="both"/>
      </w:pPr>
      <w:r w:rsidRPr="008548A0">
        <w:t>Les matériaux représentent 20% de la base industrielle de l’UE, et sont au cœur de la quasi-totalité des chaines de valeur.</w:t>
      </w:r>
      <w:r>
        <w:t xml:space="preserve"> </w:t>
      </w:r>
      <w:r w:rsidRPr="008548A0">
        <w:t>Le programme Horizon Europe devra accompagner le développement des connaissances et des</w:t>
      </w:r>
      <w:r>
        <w:t xml:space="preserve"> </w:t>
      </w:r>
      <w:r w:rsidRPr="008548A0">
        <w:t>innovations dans les domaines suivants</w:t>
      </w:r>
      <w:r>
        <w:t xml:space="preserve"> </w:t>
      </w:r>
      <w:r w:rsidRPr="008548A0">
        <w:t>:</w:t>
      </w:r>
    </w:p>
    <w:p w14:paraId="3D6705B5" w14:textId="7B50DD27" w:rsidR="008548A0" w:rsidRPr="008C667C" w:rsidRDefault="008548A0" w:rsidP="008548A0">
      <w:pPr>
        <w:pStyle w:val="Paragraphedeliste"/>
        <w:numPr>
          <w:ilvl w:val="0"/>
          <w:numId w:val="28"/>
        </w:numPr>
        <w:pBdr>
          <w:top w:val="nil"/>
          <w:left w:val="nil"/>
          <w:bottom w:val="nil"/>
          <w:right w:val="nil"/>
          <w:between w:val="nil"/>
        </w:pBdr>
        <w:tabs>
          <w:tab w:val="left" w:pos="1307"/>
        </w:tabs>
        <w:jc w:val="both"/>
        <w:rPr>
          <w:b/>
          <w:bCs/>
        </w:rPr>
      </w:pPr>
      <w:r w:rsidRPr="008C667C">
        <w:rPr>
          <w:b/>
          <w:bCs/>
        </w:rPr>
        <w:t>Matériaux avancés dotés de nouvelles propriétés et fonctionnalités</w:t>
      </w:r>
      <w:r w:rsidR="0003124D">
        <w:t> ;</w:t>
      </w:r>
    </w:p>
    <w:p w14:paraId="213F10A7" w14:textId="609CF5F0" w:rsidR="008548A0" w:rsidRDefault="008548A0" w:rsidP="008548A0">
      <w:pPr>
        <w:pStyle w:val="Paragraphedeliste"/>
        <w:numPr>
          <w:ilvl w:val="0"/>
          <w:numId w:val="28"/>
        </w:numPr>
        <w:pBdr>
          <w:top w:val="nil"/>
          <w:left w:val="nil"/>
          <w:bottom w:val="nil"/>
          <w:right w:val="nil"/>
          <w:between w:val="nil"/>
        </w:pBdr>
        <w:tabs>
          <w:tab w:val="left" w:pos="1307"/>
        </w:tabs>
        <w:jc w:val="both"/>
      </w:pPr>
      <w:r w:rsidRPr="008548A0">
        <w:lastRenderedPageBreak/>
        <w:t>Procédés et production de matériaux intégrés suivant une approche éthique</w:t>
      </w:r>
      <w:r w:rsidR="0003124D">
        <w:t> ;</w:t>
      </w:r>
    </w:p>
    <w:p w14:paraId="691FDBDE" w14:textId="7984A3C7" w:rsidR="008548A0" w:rsidRDefault="008548A0" w:rsidP="008548A0">
      <w:pPr>
        <w:pStyle w:val="Paragraphedeliste"/>
        <w:numPr>
          <w:ilvl w:val="0"/>
          <w:numId w:val="28"/>
        </w:numPr>
        <w:pBdr>
          <w:top w:val="nil"/>
          <w:left w:val="nil"/>
          <w:bottom w:val="nil"/>
          <w:right w:val="nil"/>
          <w:between w:val="nil"/>
        </w:pBdr>
        <w:tabs>
          <w:tab w:val="left" w:pos="1307"/>
        </w:tabs>
        <w:jc w:val="both"/>
      </w:pPr>
      <w:r w:rsidRPr="008548A0">
        <w:t>Outils génériques avancés (caractérisation, simulation...)</w:t>
      </w:r>
      <w:r w:rsidR="0003124D">
        <w:t> ;</w:t>
      </w:r>
    </w:p>
    <w:p w14:paraId="5BBAADF4" w14:textId="0BECD5F2" w:rsidR="008548A0" w:rsidRDefault="008548A0" w:rsidP="008548A0">
      <w:pPr>
        <w:pStyle w:val="Paragraphedeliste"/>
        <w:numPr>
          <w:ilvl w:val="0"/>
          <w:numId w:val="28"/>
        </w:numPr>
        <w:pBdr>
          <w:top w:val="nil"/>
          <w:left w:val="nil"/>
          <w:bottom w:val="nil"/>
          <w:right w:val="nil"/>
          <w:between w:val="nil"/>
        </w:pBdr>
        <w:tabs>
          <w:tab w:val="left" w:pos="1307"/>
        </w:tabs>
        <w:jc w:val="both"/>
      </w:pPr>
      <w:r w:rsidRPr="008548A0">
        <w:t>Écosystème d’innovation de l’UE composé d’infrastructures technologiques mises en réseau</w:t>
      </w:r>
      <w:r w:rsidR="0003124D">
        <w:t> ;</w:t>
      </w:r>
    </w:p>
    <w:p w14:paraId="5F88584F" w14:textId="17D84B81" w:rsidR="008548A0" w:rsidRDefault="008548A0" w:rsidP="008548A0">
      <w:pPr>
        <w:pStyle w:val="Paragraphedeliste"/>
        <w:numPr>
          <w:ilvl w:val="0"/>
          <w:numId w:val="28"/>
        </w:numPr>
        <w:pBdr>
          <w:top w:val="nil"/>
          <w:left w:val="nil"/>
          <w:bottom w:val="nil"/>
          <w:right w:val="nil"/>
          <w:between w:val="nil"/>
        </w:pBdr>
        <w:tabs>
          <w:tab w:val="left" w:pos="1307"/>
        </w:tabs>
        <w:jc w:val="both"/>
      </w:pPr>
      <w:r w:rsidRPr="008548A0">
        <w:t>Solutions basées</w:t>
      </w:r>
      <w:r>
        <w:t xml:space="preserve"> </w:t>
      </w:r>
      <w:r w:rsidRPr="008548A0">
        <w:t>sur les matériaux avancés pour le patrimoine culturel, la conception, l’architecture et la créativité générale</w:t>
      </w:r>
      <w:r w:rsidR="0003124D">
        <w:t>.</w:t>
      </w:r>
    </w:p>
    <w:p w14:paraId="6E71A8AE" w14:textId="78CE1F6D" w:rsidR="008C667C" w:rsidRDefault="008C667C" w:rsidP="008C667C">
      <w:pPr>
        <w:pBdr>
          <w:top w:val="nil"/>
          <w:left w:val="nil"/>
          <w:bottom w:val="nil"/>
          <w:right w:val="nil"/>
          <w:between w:val="nil"/>
        </w:pBdr>
        <w:tabs>
          <w:tab w:val="left" w:pos="1307"/>
        </w:tabs>
        <w:jc w:val="both"/>
      </w:pPr>
    </w:p>
    <w:p w14:paraId="71BD617D" w14:textId="665062BE" w:rsidR="008C667C" w:rsidRPr="00BB387A" w:rsidRDefault="008C667C" w:rsidP="008C667C">
      <w:pPr>
        <w:pBdr>
          <w:top w:val="nil"/>
          <w:left w:val="nil"/>
          <w:bottom w:val="nil"/>
          <w:right w:val="nil"/>
          <w:between w:val="nil"/>
        </w:pBdr>
        <w:tabs>
          <w:tab w:val="left" w:pos="1307"/>
        </w:tabs>
        <w:jc w:val="both"/>
        <w:rPr>
          <w:b/>
          <w:bCs/>
          <w:u w:val="single"/>
        </w:rPr>
      </w:pPr>
      <w:r w:rsidRPr="00BB387A">
        <w:rPr>
          <w:b/>
          <w:bCs/>
          <w:u w:val="single"/>
        </w:rPr>
        <w:t>Destination 5 - Intelligence artificielle et robotique</w:t>
      </w:r>
    </w:p>
    <w:p w14:paraId="34E8F242" w14:textId="77777777" w:rsidR="00117367" w:rsidRDefault="00117367" w:rsidP="008C667C">
      <w:pPr>
        <w:pBdr>
          <w:top w:val="nil"/>
          <w:left w:val="nil"/>
          <w:bottom w:val="nil"/>
          <w:right w:val="nil"/>
          <w:between w:val="nil"/>
        </w:pBdr>
        <w:tabs>
          <w:tab w:val="left" w:pos="1307"/>
        </w:tabs>
        <w:jc w:val="both"/>
      </w:pPr>
    </w:p>
    <w:p w14:paraId="5CA16CF1" w14:textId="6D3D4CB7" w:rsidR="008C667C" w:rsidRDefault="008C667C" w:rsidP="008C667C">
      <w:pPr>
        <w:pBdr>
          <w:top w:val="nil"/>
          <w:left w:val="nil"/>
          <w:bottom w:val="nil"/>
          <w:right w:val="nil"/>
          <w:between w:val="nil"/>
        </w:pBdr>
        <w:tabs>
          <w:tab w:val="left" w:pos="1307"/>
        </w:tabs>
        <w:jc w:val="both"/>
      </w:pPr>
      <w:r w:rsidRPr="008C667C">
        <w:t>L'Intelligence</w:t>
      </w:r>
      <w:r>
        <w:t xml:space="preserve"> </w:t>
      </w:r>
      <w:r w:rsidRPr="008C667C">
        <w:t>artificielle</w:t>
      </w:r>
      <w:r>
        <w:t xml:space="preserve"> </w:t>
      </w:r>
      <w:r w:rsidRPr="008C667C">
        <w:t>doit</w:t>
      </w:r>
      <w:r>
        <w:t xml:space="preserve"> </w:t>
      </w:r>
      <w:r w:rsidRPr="008C667C">
        <w:t>être</w:t>
      </w:r>
      <w:r>
        <w:t xml:space="preserve"> </w:t>
      </w:r>
      <w:r w:rsidRPr="008C667C">
        <w:t>mise</w:t>
      </w:r>
      <w:r>
        <w:t xml:space="preserve"> </w:t>
      </w:r>
      <w:r w:rsidRPr="008C667C">
        <w:t>à</w:t>
      </w:r>
      <w:r>
        <w:t xml:space="preserve"> </w:t>
      </w:r>
      <w:r w:rsidRPr="008C667C">
        <w:t>la</w:t>
      </w:r>
      <w:r>
        <w:t xml:space="preserve"> </w:t>
      </w:r>
      <w:r w:rsidRPr="008C667C">
        <w:t>portée</w:t>
      </w:r>
      <w:r>
        <w:t xml:space="preserve"> </w:t>
      </w:r>
      <w:r w:rsidRPr="008C667C">
        <w:t>des</w:t>
      </w:r>
      <w:r>
        <w:t xml:space="preserve"> </w:t>
      </w:r>
      <w:r w:rsidRPr="008C667C">
        <w:t>citoyens</w:t>
      </w:r>
      <w:r>
        <w:t xml:space="preserve"> </w:t>
      </w:r>
      <w:r w:rsidRPr="008C667C">
        <w:t>pour</w:t>
      </w:r>
      <w:r>
        <w:t xml:space="preserve"> </w:t>
      </w:r>
      <w:r w:rsidRPr="008C667C">
        <w:t>un</w:t>
      </w:r>
      <w:r>
        <w:t xml:space="preserve"> </w:t>
      </w:r>
      <w:r w:rsidRPr="008C667C">
        <w:t>bénéfice</w:t>
      </w:r>
      <w:r>
        <w:t xml:space="preserve"> </w:t>
      </w:r>
      <w:r w:rsidRPr="008C667C">
        <w:t>quotidien</w:t>
      </w:r>
      <w:r>
        <w:t xml:space="preserve"> </w:t>
      </w:r>
      <w:r w:rsidRPr="008C667C">
        <w:t>;</w:t>
      </w:r>
      <w:r>
        <w:t xml:space="preserve"> </w:t>
      </w:r>
      <w:r w:rsidRPr="008C667C">
        <w:t>que</w:t>
      </w:r>
      <w:r>
        <w:t xml:space="preserve"> </w:t>
      </w:r>
      <w:r w:rsidRPr="008C667C">
        <w:t>ce</w:t>
      </w:r>
      <w:r>
        <w:t xml:space="preserve"> </w:t>
      </w:r>
      <w:r w:rsidRPr="008C667C">
        <w:t>soit</w:t>
      </w:r>
      <w:r>
        <w:t xml:space="preserve"> </w:t>
      </w:r>
      <w:r w:rsidRPr="008C667C">
        <w:t>pour</w:t>
      </w:r>
      <w:r>
        <w:t xml:space="preserve"> </w:t>
      </w:r>
      <w:r w:rsidRPr="008C667C">
        <w:t>la</w:t>
      </w:r>
      <w:r>
        <w:t xml:space="preserve"> </w:t>
      </w:r>
      <w:r w:rsidRPr="008C667C">
        <w:t>réduction</w:t>
      </w:r>
      <w:r>
        <w:t xml:space="preserve"> </w:t>
      </w:r>
      <w:r w:rsidRPr="008C667C">
        <w:t>des</w:t>
      </w:r>
      <w:r>
        <w:t xml:space="preserve"> </w:t>
      </w:r>
      <w:r w:rsidRPr="008C667C">
        <w:t>accidents</w:t>
      </w:r>
      <w:r>
        <w:t xml:space="preserve"> </w:t>
      </w:r>
      <w:r w:rsidRPr="008C667C">
        <w:t>de</w:t>
      </w:r>
      <w:r>
        <w:t xml:space="preserve"> </w:t>
      </w:r>
      <w:r w:rsidRPr="008C667C">
        <w:t>la</w:t>
      </w:r>
      <w:r>
        <w:t xml:space="preserve"> </w:t>
      </w:r>
      <w:r w:rsidRPr="008C667C">
        <w:t>route,</w:t>
      </w:r>
      <w:r>
        <w:t xml:space="preserve"> </w:t>
      </w:r>
      <w:r w:rsidRPr="008C667C">
        <w:t>l'assistance</w:t>
      </w:r>
      <w:r>
        <w:t xml:space="preserve"> </w:t>
      </w:r>
      <w:r w:rsidRPr="008C667C">
        <w:t>adaptée</w:t>
      </w:r>
      <w:r>
        <w:t xml:space="preserve"> </w:t>
      </w:r>
      <w:r w:rsidRPr="008C667C">
        <w:t>aux</w:t>
      </w:r>
      <w:r>
        <w:t xml:space="preserve"> </w:t>
      </w:r>
      <w:r w:rsidRPr="008C667C">
        <w:t>besoins</w:t>
      </w:r>
      <w:r>
        <w:t xml:space="preserve"> </w:t>
      </w:r>
      <w:r w:rsidRPr="008C667C">
        <w:t>de</w:t>
      </w:r>
      <w:r>
        <w:t xml:space="preserve"> </w:t>
      </w:r>
      <w:r w:rsidRPr="008C667C">
        <w:t>chacun,</w:t>
      </w:r>
      <w:r>
        <w:t xml:space="preserve"> </w:t>
      </w:r>
      <w:r w:rsidRPr="00117367">
        <w:rPr>
          <w:b/>
          <w:bCs/>
        </w:rPr>
        <w:t>améliorer le cycle de vie des ressources</w:t>
      </w:r>
      <w:r w:rsidRPr="008C667C">
        <w:t>,</w:t>
      </w:r>
      <w:r>
        <w:t xml:space="preserve"> </w:t>
      </w:r>
      <w:r w:rsidRPr="008C667C">
        <w:t>l'amélioration</w:t>
      </w:r>
      <w:r>
        <w:t xml:space="preserve"> </w:t>
      </w:r>
      <w:r w:rsidRPr="008C667C">
        <w:t>des</w:t>
      </w:r>
      <w:r>
        <w:t xml:space="preserve"> </w:t>
      </w:r>
      <w:r w:rsidRPr="008C667C">
        <w:t>diagnostics</w:t>
      </w:r>
      <w:r>
        <w:t xml:space="preserve"> </w:t>
      </w:r>
      <w:r w:rsidRPr="008C667C">
        <w:t>médicaux...</w:t>
      </w:r>
      <w:r>
        <w:t xml:space="preserve"> </w:t>
      </w:r>
      <w:r w:rsidRPr="008C667C">
        <w:t>En</w:t>
      </w:r>
      <w:r>
        <w:t xml:space="preserve"> </w:t>
      </w:r>
      <w:r w:rsidRPr="008C667C">
        <w:t>relation</w:t>
      </w:r>
      <w:r>
        <w:t xml:space="preserve"> </w:t>
      </w:r>
      <w:r w:rsidRPr="008C667C">
        <w:t>avec</w:t>
      </w:r>
      <w:r>
        <w:t xml:space="preserve"> </w:t>
      </w:r>
      <w:r w:rsidRPr="008C667C">
        <w:t>les</w:t>
      </w:r>
      <w:r>
        <w:t xml:space="preserve"> </w:t>
      </w:r>
      <w:r w:rsidRPr="008C667C">
        <w:t>autres</w:t>
      </w:r>
      <w:r>
        <w:t xml:space="preserve"> </w:t>
      </w:r>
      <w:r w:rsidRPr="008C667C">
        <w:t>clusters,</w:t>
      </w:r>
      <w:r>
        <w:t xml:space="preserve"> </w:t>
      </w:r>
      <w:r w:rsidRPr="008C667C">
        <w:t>et</w:t>
      </w:r>
      <w:r>
        <w:t xml:space="preserve"> </w:t>
      </w:r>
      <w:r w:rsidRPr="008C667C">
        <w:t>au</w:t>
      </w:r>
      <w:r>
        <w:t xml:space="preserve"> </w:t>
      </w:r>
      <w:r w:rsidRPr="008C667C">
        <w:t>service</w:t>
      </w:r>
      <w:r>
        <w:t xml:space="preserve"> </w:t>
      </w:r>
      <w:r w:rsidRPr="008C667C">
        <w:t>de</w:t>
      </w:r>
      <w:r>
        <w:t xml:space="preserve"> </w:t>
      </w:r>
      <w:r w:rsidRPr="008C667C">
        <w:t>ceux-ci,</w:t>
      </w:r>
      <w:r>
        <w:t xml:space="preserve"> </w:t>
      </w:r>
      <w:r w:rsidRPr="008C667C">
        <w:t>les</w:t>
      </w:r>
      <w:r>
        <w:t xml:space="preserve"> </w:t>
      </w:r>
      <w:r w:rsidRPr="008C667C">
        <w:t>innovations</w:t>
      </w:r>
      <w:r>
        <w:t xml:space="preserve"> </w:t>
      </w:r>
      <w:r w:rsidRPr="008C667C">
        <w:t>doivent</w:t>
      </w:r>
      <w:r>
        <w:t xml:space="preserve"> </w:t>
      </w:r>
      <w:r w:rsidRPr="008C667C">
        <w:t>être</w:t>
      </w:r>
      <w:r>
        <w:t xml:space="preserve"> </w:t>
      </w:r>
      <w:r w:rsidRPr="008C667C">
        <w:t>tournées</w:t>
      </w:r>
      <w:r>
        <w:t xml:space="preserve"> </w:t>
      </w:r>
      <w:r w:rsidRPr="008C667C">
        <w:t>dans</w:t>
      </w:r>
      <w:r>
        <w:t xml:space="preserve"> </w:t>
      </w:r>
      <w:r w:rsidRPr="008C667C">
        <w:t>un</w:t>
      </w:r>
      <w:r>
        <w:t xml:space="preserve"> </w:t>
      </w:r>
      <w:r w:rsidRPr="008C667C">
        <w:t>objectif</w:t>
      </w:r>
      <w:r>
        <w:t xml:space="preserve"> </w:t>
      </w:r>
      <w:r w:rsidRPr="008C667C">
        <w:t>de</w:t>
      </w:r>
      <w:r>
        <w:t xml:space="preserve"> </w:t>
      </w:r>
      <w:r w:rsidRPr="008C667C">
        <w:t>compétitivité</w:t>
      </w:r>
      <w:r>
        <w:t xml:space="preserve"> </w:t>
      </w:r>
      <w:r w:rsidRPr="008C667C">
        <w:t>dans</w:t>
      </w:r>
      <w:r>
        <w:t xml:space="preserve"> </w:t>
      </w:r>
      <w:r w:rsidRPr="008C667C">
        <w:t>tous</w:t>
      </w:r>
      <w:r>
        <w:t xml:space="preserve"> </w:t>
      </w:r>
      <w:r w:rsidRPr="008C667C">
        <w:t>les</w:t>
      </w:r>
      <w:r>
        <w:t xml:space="preserve"> </w:t>
      </w:r>
      <w:r w:rsidRPr="008C667C">
        <w:t>secteurs</w:t>
      </w:r>
      <w:r>
        <w:t xml:space="preserve"> </w:t>
      </w:r>
      <w:r w:rsidRPr="008C667C">
        <w:t>:</w:t>
      </w:r>
      <w:r>
        <w:t xml:space="preserve"> </w:t>
      </w:r>
      <w:r w:rsidRPr="008C667C">
        <w:t>santé,</w:t>
      </w:r>
      <w:r>
        <w:t xml:space="preserve"> </w:t>
      </w:r>
      <w:r w:rsidRPr="008C667C">
        <w:t>agriculture,</w:t>
      </w:r>
      <w:r>
        <w:t xml:space="preserve"> </w:t>
      </w:r>
      <w:r w:rsidRPr="008C667C">
        <w:t>industrie,</w:t>
      </w:r>
      <w:r>
        <w:t xml:space="preserve"> </w:t>
      </w:r>
      <w:r w:rsidRPr="008C667C">
        <w:t>énergie,</w:t>
      </w:r>
      <w:r>
        <w:t xml:space="preserve"> </w:t>
      </w:r>
      <w:r w:rsidRPr="008C667C">
        <w:t>transport</w:t>
      </w:r>
      <w:r>
        <w:t xml:space="preserve"> </w:t>
      </w:r>
      <w:r w:rsidRPr="008C667C">
        <w:t>;</w:t>
      </w:r>
      <w:r>
        <w:t xml:space="preserve"> </w:t>
      </w:r>
      <w:r w:rsidRPr="008C667C">
        <w:t>tout</w:t>
      </w:r>
      <w:r>
        <w:t xml:space="preserve"> </w:t>
      </w:r>
      <w:r w:rsidRPr="008C667C">
        <w:t>en</w:t>
      </w:r>
      <w:r>
        <w:t xml:space="preserve"> </w:t>
      </w:r>
      <w:r w:rsidRPr="008C667C">
        <w:t>veillant</w:t>
      </w:r>
      <w:r>
        <w:t xml:space="preserve"> </w:t>
      </w:r>
      <w:r w:rsidRPr="008C667C">
        <w:t>à</w:t>
      </w:r>
      <w:r>
        <w:t xml:space="preserve"> </w:t>
      </w:r>
      <w:r w:rsidRPr="00117367">
        <w:rPr>
          <w:b/>
          <w:bCs/>
        </w:rPr>
        <w:t>la réduction de l'empreinte énergétique</w:t>
      </w:r>
      <w:r w:rsidRPr="008C667C">
        <w:t>.</w:t>
      </w:r>
    </w:p>
    <w:p w14:paraId="0B2D8B15" w14:textId="77777777" w:rsidR="008C667C" w:rsidRDefault="008C667C" w:rsidP="008C667C">
      <w:pPr>
        <w:pBdr>
          <w:top w:val="nil"/>
          <w:left w:val="nil"/>
          <w:bottom w:val="nil"/>
          <w:right w:val="nil"/>
          <w:between w:val="nil"/>
        </w:pBdr>
        <w:tabs>
          <w:tab w:val="left" w:pos="1307"/>
        </w:tabs>
        <w:jc w:val="both"/>
      </w:pPr>
      <w:r w:rsidRPr="008C667C">
        <w:t>L'introduction</w:t>
      </w:r>
      <w:r>
        <w:t xml:space="preserve"> </w:t>
      </w:r>
      <w:r w:rsidRPr="008C667C">
        <w:t>de</w:t>
      </w:r>
      <w:r>
        <w:t xml:space="preserve"> </w:t>
      </w:r>
      <w:r w:rsidRPr="008C667C">
        <w:t>l'autonomie</w:t>
      </w:r>
      <w:r>
        <w:t xml:space="preserve"> </w:t>
      </w:r>
      <w:r w:rsidRPr="008C667C">
        <w:t>dans</w:t>
      </w:r>
      <w:r>
        <w:t xml:space="preserve"> </w:t>
      </w:r>
      <w:r w:rsidRPr="008C667C">
        <w:t>les</w:t>
      </w:r>
      <w:r>
        <w:t xml:space="preserve"> </w:t>
      </w:r>
      <w:r w:rsidRPr="008C667C">
        <w:t>systèmes</w:t>
      </w:r>
      <w:r>
        <w:t xml:space="preserve"> </w:t>
      </w:r>
      <w:r w:rsidRPr="008C667C">
        <w:t>complexes</w:t>
      </w:r>
      <w:r>
        <w:t xml:space="preserve"> </w:t>
      </w:r>
      <w:r w:rsidRPr="008C667C">
        <w:t>est</w:t>
      </w:r>
      <w:r>
        <w:t xml:space="preserve"> </w:t>
      </w:r>
      <w:r w:rsidRPr="008C667C">
        <w:t>à</w:t>
      </w:r>
      <w:r>
        <w:t xml:space="preserve"> </w:t>
      </w:r>
      <w:r w:rsidRPr="008C667C">
        <w:t>la</w:t>
      </w:r>
      <w:r>
        <w:t xml:space="preserve"> </w:t>
      </w:r>
      <w:r w:rsidRPr="008C667C">
        <w:t>fois</w:t>
      </w:r>
      <w:r>
        <w:t xml:space="preserve"> </w:t>
      </w:r>
      <w:r w:rsidRPr="008C667C">
        <w:t>un</w:t>
      </w:r>
      <w:r>
        <w:t xml:space="preserve"> </w:t>
      </w:r>
      <w:r w:rsidRPr="008C667C">
        <w:t>enjeu</w:t>
      </w:r>
      <w:r>
        <w:t xml:space="preserve"> </w:t>
      </w:r>
      <w:r w:rsidRPr="008C667C">
        <w:t>de</w:t>
      </w:r>
      <w:r>
        <w:t xml:space="preserve"> </w:t>
      </w:r>
      <w:r w:rsidRPr="008C667C">
        <w:t>sécurité</w:t>
      </w:r>
      <w:r>
        <w:t xml:space="preserve"> </w:t>
      </w:r>
      <w:r w:rsidRPr="008C667C">
        <w:t>et</w:t>
      </w:r>
      <w:r>
        <w:t xml:space="preserve"> </w:t>
      </w:r>
      <w:r w:rsidRPr="008C667C">
        <w:t>de</w:t>
      </w:r>
      <w:r>
        <w:t xml:space="preserve"> </w:t>
      </w:r>
      <w:r w:rsidRPr="008C667C">
        <w:t>compétitivité.</w:t>
      </w:r>
    </w:p>
    <w:p w14:paraId="16989F06" w14:textId="3833E2A9" w:rsidR="008C667C" w:rsidRDefault="008C667C" w:rsidP="008C667C">
      <w:pPr>
        <w:pBdr>
          <w:top w:val="nil"/>
          <w:left w:val="nil"/>
          <w:bottom w:val="nil"/>
          <w:right w:val="nil"/>
          <w:between w:val="nil"/>
        </w:pBdr>
        <w:tabs>
          <w:tab w:val="left" w:pos="1307"/>
        </w:tabs>
        <w:jc w:val="both"/>
      </w:pPr>
      <w:r w:rsidRPr="008C667C">
        <w:t>Les</w:t>
      </w:r>
      <w:r w:rsidR="00117367">
        <w:t xml:space="preserve"> </w:t>
      </w:r>
      <w:r w:rsidRPr="008C667C">
        <w:t>défis</w:t>
      </w:r>
      <w:r w:rsidR="00117367">
        <w:t xml:space="preserve"> </w:t>
      </w:r>
      <w:r w:rsidRPr="008C667C">
        <w:t>technologiques</w:t>
      </w:r>
      <w:r w:rsidR="00117367">
        <w:t xml:space="preserve"> </w:t>
      </w:r>
      <w:r w:rsidRPr="008C667C">
        <w:t>vont</w:t>
      </w:r>
      <w:r w:rsidR="00117367">
        <w:t xml:space="preserve"> </w:t>
      </w:r>
      <w:r w:rsidRPr="008C667C">
        <w:t>de</w:t>
      </w:r>
      <w:r w:rsidR="00117367">
        <w:t xml:space="preserve"> </w:t>
      </w:r>
      <w:r w:rsidRPr="008C667C">
        <w:t>l'amélioration</w:t>
      </w:r>
      <w:r w:rsidR="00117367">
        <w:t xml:space="preserve"> </w:t>
      </w:r>
      <w:r w:rsidRPr="008C667C">
        <w:t>matérielle</w:t>
      </w:r>
      <w:r w:rsidR="00117367">
        <w:t xml:space="preserve"> </w:t>
      </w:r>
      <w:r w:rsidRPr="008C667C">
        <w:t>(puces</w:t>
      </w:r>
      <w:r w:rsidR="00117367">
        <w:t xml:space="preserve"> </w:t>
      </w:r>
      <w:r w:rsidRPr="008C667C">
        <w:t>spécialisées,</w:t>
      </w:r>
      <w:r w:rsidR="00117367">
        <w:t xml:space="preserve"> </w:t>
      </w:r>
      <w:r w:rsidRPr="008C667C">
        <w:t>mécatronique)</w:t>
      </w:r>
      <w:r w:rsidR="00117367">
        <w:t xml:space="preserve"> </w:t>
      </w:r>
      <w:r w:rsidR="005115D9">
        <w:t>au développement d’</w:t>
      </w:r>
      <w:r w:rsidRPr="008C667C">
        <w:t>algorithmes,</w:t>
      </w:r>
      <w:r w:rsidR="00117367">
        <w:t xml:space="preserve"> </w:t>
      </w:r>
      <w:r w:rsidR="005115D9">
        <w:t xml:space="preserve">tout </w:t>
      </w:r>
      <w:r w:rsidRPr="008C667C">
        <w:t>en</w:t>
      </w:r>
      <w:r w:rsidR="00117367">
        <w:t xml:space="preserve"> </w:t>
      </w:r>
      <w:r w:rsidRPr="008C667C">
        <w:t>veillant</w:t>
      </w:r>
      <w:r w:rsidR="00117367">
        <w:t xml:space="preserve"> </w:t>
      </w:r>
      <w:r w:rsidRPr="008C667C">
        <w:t>à</w:t>
      </w:r>
      <w:r w:rsidR="00117367">
        <w:t xml:space="preserve"> </w:t>
      </w:r>
      <w:r w:rsidR="005115D9">
        <w:t>la pertinence</w:t>
      </w:r>
      <w:r w:rsidRPr="008C667C">
        <w:t>,</w:t>
      </w:r>
      <w:r w:rsidR="00117367">
        <w:t xml:space="preserve"> </w:t>
      </w:r>
      <w:r w:rsidRPr="008C667C">
        <w:t>la</w:t>
      </w:r>
      <w:r w:rsidR="00117367">
        <w:t xml:space="preserve"> </w:t>
      </w:r>
      <w:r w:rsidRPr="008C667C">
        <w:t>robustesse</w:t>
      </w:r>
      <w:r w:rsidR="00117367">
        <w:t xml:space="preserve"> </w:t>
      </w:r>
      <w:r w:rsidRPr="008C667C">
        <w:t>et</w:t>
      </w:r>
      <w:r w:rsidR="00117367">
        <w:t xml:space="preserve"> </w:t>
      </w:r>
      <w:r w:rsidRPr="008C667C">
        <w:t>l'efficacité</w:t>
      </w:r>
      <w:r w:rsidR="005115D9">
        <w:t xml:space="preserve"> des nouveaux procédés</w:t>
      </w:r>
      <w:r w:rsidRPr="008C667C">
        <w:t>.</w:t>
      </w:r>
      <w:r w:rsidR="00117367">
        <w:t xml:space="preserve"> </w:t>
      </w:r>
      <w:r w:rsidR="009D262C">
        <w:t>L</w:t>
      </w:r>
      <w:r w:rsidRPr="008C667C">
        <w:t>es</w:t>
      </w:r>
      <w:r w:rsidR="00117367">
        <w:t xml:space="preserve"> </w:t>
      </w:r>
      <w:r w:rsidRPr="008C667C">
        <w:t>innovations</w:t>
      </w:r>
      <w:r w:rsidR="00117367">
        <w:t xml:space="preserve"> </w:t>
      </w:r>
      <w:r w:rsidR="009D262C">
        <w:t xml:space="preserve">développer doivent permettre d’atteindre bons résultats mais </w:t>
      </w:r>
      <w:r w:rsidRPr="008C667C">
        <w:t>rester</w:t>
      </w:r>
      <w:r w:rsidR="00117367">
        <w:t xml:space="preserve"> </w:t>
      </w:r>
      <w:r w:rsidRPr="008C667C">
        <w:t>éthiques</w:t>
      </w:r>
      <w:r w:rsidR="00117367">
        <w:t xml:space="preserve"> </w:t>
      </w:r>
      <w:r w:rsidRPr="008C667C">
        <w:t>et</w:t>
      </w:r>
      <w:r w:rsidR="00117367">
        <w:t xml:space="preserve"> </w:t>
      </w:r>
      <w:r w:rsidRPr="008C667C">
        <w:t>centrées</w:t>
      </w:r>
      <w:r w:rsidR="00117367">
        <w:t xml:space="preserve"> </w:t>
      </w:r>
      <w:r w:rsidRPr="008C667C">
        <w:t>sur</w:t>
      </w:r>
      <w:r w:rsidR="00117367">
        <w:t xml:space="preserve"> </w:t>
      </w:r>
      <w:r w:rsidRPr="008C667C">
        <w:t>l'humain.</w:t>
      </w:r>
    </w:p>
    <w:p w14:paraId="1228FD38" w14:textId="77777777" w:rsidR="00637979" w:rsidRDefault="00637979" w:rsidP="008C667C">
      <w:pPr>
        <w:pBdr>
          <w:top w:val="nil"/>
          <w:left w:val="nil"/>
          <w:bottom w:val="nil"/>
          <w:right w:val="nil"/>
          <w:between w:val="nil"/>
        </w:pBdr>
        <w:tabs>
          <w:tab w:val="left" w:pos="1307"/>
        </w:tabs>
        <w:jc w:val="both"/>
      </w:pPr>
    </w:p>
    <w:p w14:paraId="7AFBB37B" w14:textId="77777777" w:rsidR="00A14552" w:rsidRPr="00BB387A" w:rsidRDefault="00A14552" w:rsidP="008C667C">
      <w:pPr>
        <w:pBdr>
          <w:top w:val="nil"/>
          <w:left w:val="nil"/>
          <w:bottom w:val="nil"/>
          <w:right w:val="nil"/>
          <w:between w:val="nil"/>
        </w:pBdr>
        <w:tabs>
          <w:tab w:val="left" w:pos="1307"/>
        </w:tabs>
        <w:jc w:val="both"/>
        <w:rPr>
          <w:b/>
          <w:bCs/>
          <w:u w:val="single"/>
        </w:rPr>
      </w:pPr>
      <w:r w:rsidRPr="00BB387A">
        <w:rPr>
          <w:b/>
          <w:bCs/>
          <w:u w:val="single"/>
        </w:rPr>
        <w:t>Destination 8 - Industries circulaires</w:t>
      </w:r>
    </w:p>
    <w:p w14:paraId="110A67E6" w14:textId="77777777" w:rsidR="00A14552" w:rsidRDefault="00A14552" w:rsidP="008C667C">
      <w:pPr>
        <w:pBdr>
          <w:top w:val="nil"/>
          <w:left w:val="nil"/>
          <w:bottom w:val="nil"/>
          <w:right w:val="nil"/>
          <w:between w:val="nil"/>
        </w:pBdr>
        <w:tabs>
          <w:tab w:val="left" w:pos="1307"/>
        </w:tabs>
        <w:jc w:val="both"/>
      </w:pPr>
    </w:p>
    <w:p w14:paraId="78509F56" w14:textId="253F2AC1" w:rsidR="00A14552" w:rsidRDefault="00A14552" w:rsidP="008C667C">
      <w:pPr>
        <w:pBdr>
          <w:top w:val="nil"/>
          <w:left w:val="nil"/>
          <w:bottom w:val="nil"/>
          <w:right w:val="nil"/>
          <w:between w:val="nil"/>
        </w:pBdr>
        <w:tabs>
          <w:tab w:val="left" w:pos="1307"/>
        </w:tabs>
        <w:jc w:val="both"/>
      </w:pPr>
      <w:r w:rsidRPr="00592F07">
        <w:rPr>
          <w:b/>
          <w:bCs/>
        </w:rPr>
        <w:t>L'industrie européenne doit devenir circulaire</w:t>
      </w:r>
      <w:r>
        <w:t xml:space="preserve"> </w:t>
      </w:r>
      <w:r w:rsidRPr="00A14552">
        <w:t>: la valeur des ressources, des matières et des produits doit être maintenue beaucoup plus longtemps qu'aujourd'hui, voire créer de nouvelles chaînes de valeur.</w:t>
      </w:r>
      <w:r>
        <w:t xml:space="preserve"> </w:t>
      </w:r>
      <w:r w:rsidRPr="00A14552">
        <w:t>Le programme Horizon Europe soutiendra les thématiques suivantes</w:t>
      </w:r>
      <w:r>
        <w:t xml:space="preserve"> </w:t>
      </w:r>
      <w:r w:rsidRPr="00A14552">
        <w:t>:</w:t>
      </w:r>
    </w:p>
    <w:p w14:paraId="3A772C42" w14:textId="5DFBD5E3" w:rsidR="00A14552" w:rsidRDefault="00A14552" w:rsidP="00A14552">
      <w:pPr>
        <w:pStyle w:val="Paragraphedeliste"/>
        <w:numPr>
          <w:ilvl w:val="0"/>
          <w:numId w:val="29"/>
        </w:numPr>
        <w:pBdr>
          <w:top w:val="nil"/>
          <w:left w:val="nil"/>
          <w:bottom w:val="nil"/>
          <w:right w:val="nil"/>
          <w:between w:val="nil"/>
        </w:pBdr>
        <w:tabs>
          <w:tab w:val="left" w:pos="1307"/>
        </w:tabs>
        <w:jc w:val="both"/>
      </w:pPr>
      <w:r w:rsidRPr="00A14552">
        <w:t>Symbiose industrielle</w:t>
      </w:r>
      <w:r w:rsidR="00EF502E">
        <w:t> ;</w:t>
      </w:r>
    </w:p>
    <w:p w14:paraId="6404C142" w14:textId="7E444A6C" w:rsidR="00A14552" w:rsidRDefault="00A14552" w:rsidP="00A14552">
      <w:pPr>
        <w:pStyle w:val="Paragraphedeliste"/>
        <w:numPr>
          <w:ilvl w:val="0"/>
          <w:numId w:val="29"/>
        </w:numPr>
        <w:pBdr>
          <w:top w:val="nil"/>
          <w:left w:val="nil"/>
          <w:bottom w:val="nil"/>
          <w:right w:val="nil"/>
          <w:between w:val="nil"/>
        </w:pBdr>
        <w:tabs>
          <w:tab w:val="left" w:pos="1307"/>
        </w:tabs>
        <w:jc w:val="both"/>
      </w:pPr>
      <w:r w:rsidRPr="00A14552">
        <w:t xml:space="preserve">Valorisation et évaluation </w:t>
      </w:r>
      <w:r w:rsidRPr="00592F07">
        <w:rPr>
          <w:b/>
          <w:bCs/>
        </w:rPr>
        <w:t>du cycle de vie des matériaux</w:t>
      </w:r>
      <w:r w:rsidRPr="00A14552">
        <w:t xml:space="preserve"> et des flux de produits combinées à l’utilisation de nouvelles matières premières de substitution et à la maitrise des ressources</w:t>
      </w:r>
      <w:r w:rsidR="00EF502E">
        <w:t> ;</w:t>
      </w:r>
    </w:p>
    <w:p w14:paraId="6FF6CE55" w14:textId="4153A780" w:rsidR="00A14552" w:rsidRDefault="00A14552" w:rsidP="00A14552">
      <w:pPr>
        <w:pStyle w:val="Paragraphedeliste"/>
        <w:numPr>
          <w:ilvl w:val="0"/>
          <w:numId w:val="29"/>
        </w:numPr>
        <w:pBdr>
          <w:top w:val="nil"/>
          <w:left w:val="nil"/>
          <w:bottom w:val="nil"/>
          <w:right w:val="nil"/>
          <w:between w:val="nil"/>
        </w:pBdr>
        <w:tabs>
          <w:tab w:val="left" w:pos="1307"/>
        </w:tabs>
        <w:jc w:val="both"/>
      </w:pPr>
      <w:r w:rsidRPr="00A14552">
        <w:t>Produits, services et nouveaux modèles d’entreprises écologiques</w:t>
      </w:r>
      <w:r w:rsidR="00EF502E">
        <w:t> ;</w:t>
      </w:r>
    </w:p>
    <w:p w14:paraId="114643FD" w14:textId="68A39810" w:rsidR="00A14552" w:rsidRDefault="00A14552" w:rsidP="00A14552">
      <w:pPr>
        <w:pStyle w:val="Paragraphedeliste"/>
        <w:numPr>
          <w:ilvl w:val="0"/>
          <w:numId w:val="29"/>
        </w:numPr>
        <w:pBdr>
          <w:top w:val="nil"/>
          <w:left w:val="nil"/>
          <w:bottom w:val="nil"/>
          <w:right w:val="nil"/>
          <w:between w:val="nil"/>
        </w:pBdr>
        <w:tabs>
          <w:tab w:val="left" w:pos="1307"/>
        </w:tabs>
        <w:jc w:val="both"/>
      </w:pPr>
      <w:r w:rsidRPr="00A14552">
        <w:t xml:space="preserve">Industrie efficace du </w:t>
      </w:r>
      <w:r w:rsidRPr="00592F07">
        <w:rPr>
          <w:b/>
          <w:bCs/>
        </w:rPr>
        <w:t>recyclage</w:t>
      </w:r>
      <w:r w:rsidRPr="00A14552">
        <w:t xml:space="preserve"> visant à maximiser le potentiel et à réduire la pollution</w:t>
      </w:r>
      <w:r w:rsidR="00EF502E">
        <w:t> ;</w:t>
      </w:r>
    </w:p>
    <w:p w14:paraId="67FBBFB1" w14:textId="414DC0E7" w:rsidR="00A14552" w:rsidRDefault="00EF502E" w:rsidP="00A14552">
      <w:pPr>
        <w:pStyle w:val="Paragraphedeliste"/>
        <w:numPr>
          <w:ilvl w:val="0"/>
          <w:numId w:val="29"/>
        </w:numPr>
        <w:pBdr>
          <w:top w:val="nil"/>
          <w:left w:val="nil"/>
          <w:bottom w:val="nil"/>
          <w:right w:val="nil"/>
          <w:between w:val="nil"/>
        </w:pBdr>
        <w:tabs>
          <w:tab w:val="left" w:pos="1307"/>
        </w:tabs>
        <w:jc w:val="both"/>
      </w:pPr>
      <w:r w:rsidRPr="00A14552">
        <w:t>Élimination</w:t>
      </w:r>
      <w:r w:rsidR="00A14552" w:rsidRPr="00A14552">
        <w:t xml:space="preserve"> ou gestion sécurisée des substances à problème dans les phases</w:t>
      </w:r>
      <w:r w:rsidR="00A14552">
        <w:t xml:space="preserve"> </w:t>
      </w:r>
      <w:r w:rsidR="00A14552" w:rsidRPr="00A14552">
        <w:t>de production et de fin de vie</w:t>
      </w:r>
      <w:r>
        <w:t> ;</w:t>
      </w:r>
    </w:p>
    <w:p w14:paraId="13661D35" w14:textId="1D4C692E" w:rsidR="00C571FE" w:rsidRDefault="00A14552" w:rsidP="00C571FE">
      <w:pPr>
        <w:pStyle w:val="Paragraphedeliste"/>
        <w:numPr>
          <w:ilvl w:val="0"/>
          <w:numId w:val="29"/>
        </w:numPr>
        <w:pBdr>
          <w:top w:val="nil"/>
          <w:left w:val="nil"/>
          <w:bottom w:val="nil"/>
          <w:right w:val="nil"/>
          <w:between w:val="nil"/>
        </w:pBdr>
        <w:tabs>
          <w:tab w:val="left" w:pos="1307"/>
        </w:tabs>
        <w:jc w:val="both"/>
      </w:pPr>
      <w:r w:rsidRPr="00592F07">
        <w:rPr>
          <w:b/>
          <w:bCs/>
        </w:rPr>
        <w:t>Approvisionnement durable en matières premières</w:t>
      </w:r>
      <w:r w:rsidRPr="00A14552">
        <w:t xml:space="preserve"> et substitution des matières premières, y compris les matières premières critiques, couvrant</w:t>
      </w:r>
      <w:r>
        <w:t xml:space="preserve"> </w:t>
      </w:r>
      <w:r w:rsidRPr="00A14552">
        <w:t>l’ensemble de la chaine de valeur.</w:t>
      </w:r>
    </w:p>
    <w:p w14:paraId="176BC31C" w14:textId="0466CE24" w:rsidR="00C571FE" w:rsidRDefault="00C571FE" w:rsidP="00C571FE">
      <w:pPr>
        <w:pBdr>
          <w:top w:val="nil"/>
          <w:left w:val="nil"/>
          <w:bottom w:val="nil"/>
          <w:right w:val="nil"/>
          <w:between w:val="nil"/>
        </w:pBdr>
        <w:tabs>
          <w:tab w:val="left" w:pos="1307"/>
        </w:tabs>
        <w:jc w:val="both"/>
      </w:pPr>
    </w:p>
    <w:p w14:paraId="46E0F29C" w14:textId="77777777" w:rsidR="00C571FE" w:rsidRPr="00BB387A" w:rsidRDefault="00C571FE" w:rsidP="00C571FE">
      <w:pPr>
        <w:pBdr>
          <w:top w:val="nil"/>
          <w:left w:val="nil"/>
          <w:bottom w:val="nil"/>
          <w:right w:val="nil"/>
          <w:between w:val="nil"/>
        </w:pBdr>
        <w:tabs>
          <w:tab w:val="left" w:pos="1307"/>
        </w:tabs>
        <w:jc w:val="both"/>
        <w:rPr>
          <w:b/>
          <w:bCs/>
          <w:u w:val="single"/>
        </w:rPr>
      </w:pPr>
      <w:r w:rsidRPr="00BB387A">
        <w:rPr>
          <w:b/>
          <w:bCs/>
          <w:u w:val="single"/>
        </w:rPr>
        <w:t>Destination 9 - Industries propres et à faible intensité de carbone</w:t>
      </w:r>
    </w:p>
    <w:p w14:paraId="1FC8C048" w14:textId="77777777" w:rsidR="00C571FE" w:rsidRDefault="00C571FE" w:rsidP="00C571FE">
      <w:pPr>
        <w:pBdr>
          <w:top w:val="nil"/>
          <w:left w:val="nil"/>
          <w:bottom w:val="nil"/>
          <w:right w:val="nil"/>
          <w:between w:val="nil"/>
        </w:pBdr>
        <w:tabs>
          <w:tab w:val="left" w:pos="1307"/>
        </w:tabs>
        <w:jc w:val="both"/>
      </w:pPr>
    </w:p>
    <w:p w14:paraId="683840B8" w14:textId="5EEE2ADE" w:rsidR="00C571FE" w:rsidRDefault="00C571FE" w:rsidP="00C571FE">
      <w:pPr>
        <w:pBdr>
          <w:top w:val="nil"/>
          <w:left w:val="nil"/>
          <w:bottom w:val="nil"/>
          <w:right w:val="nil"/>
          <w:between w:val="nil"/>
        </w:pBdr>
        <w:tabs>
          <w:tab w:val="left" w:pos="1307"/>
        </w:tabs>
        <w:jc w:val="both"/>
      </w:pPr>
      <w:r w:rsidRPr="00C571FE">
        <w:t xml:space="preserve">Les secteurs industriels représentent 20% des émissions mondiales de gaz à effet de serre, et ont un impact environnemental important. Il est donc capital de développer des technologies de pointes visant à </w:t>
      </w:r>
      <w:r w:rsidRPr="00592F07">
        <w:rPr>
          <w:b/>
          <w:bCs/>
        </w:rPr>
        <w:t>réduire sensiblement les émissions de gaz à effet de serre et de polluant</w:t>
      </w:r>
      <w:r w:rsidRPr="00C571FE">
        <w:t>, ainsi que l</w:t>
      </w:r>
      <w:r w:rsidR="00EF502E">
        <w:t>a</w:t>
      </w:r>
      <w:r w:rsidRPr="00C571FE">
        <w:t xml:space="preserve"> demande d’énergie de l’UE</w:t>
      </w:r>
      <w:r>
        <w:t xml:space="preserve"> </w:t>
      </w:r>
      <w:r w:rsidRPr="00C571FE">
        <w:t>:</w:t>
      </w:r>
    </w:p>
    <w:p w14:paraId="24330D06" w14:textId="69979A83" w:rsidR="00C571FE" w:rsidRDefault="00C571FE" w:rsidP="00C571FE">
      <w:pPr>
        <w:pStyle w:val="Paragraphedeliste"/>
        <w:numPr>
          <w:ilvl w:val="0"/>
          <w:numId w:val="30"/>
        </w:numPr>
        <w:pBdr>
          <w:top w:val="nil"/>
          <w:left w:val="nil"/>
          <w:bottom w:val="nil"/>
          <w:right w:val="nil"/>
          <w:between w:val="nil"/>
        </w:pBdr>
        <w:tabs>
          <w:tab w:val="left" w:pos="1307"/>
        </w:tabs>
        <w:jc w:val="both"/>
      </w:pPr>
      <w:r w:rsidRPr="00C571FE">
        <w:t>Technologie des procédés, avec réduction substantielle ou suppression des émissions industrielles de gaz à effet de serre et de polluants</w:t>
      </w:r>
      <w:r w:rsidR="00EF502E">
        <w:t> ;</w:t>
      </w:r>
    </w:p>
    <w:p w14:paraId="1315AF17" w14:textId="6D45FB9D" w:rsidR="00C571FE" w:rsidRDefault="00C571FE" w:rsidP="00C571FE">
      <w:pPr>
        <w:pStyle w:val="Paragraphedeliste"/>
        <w:numPr>
          <w:ilvl w:val="0"/>
          <w:numId w:val="30"/>
        </w:numPr>
        <w:pBdr>
          <w:top w:val="nil"/>
          <w:left w:val="nil"/>
          <w:bottom w:val="nil"/>
          <w:right w:val="nil"/>
          <w:between w:val="nil"/>
        </w:pBdr>
        <w:tabs>
          <w:tab w:val="left" w:pos="1307"/>
        </w:tabs>
        <w:jc w:val="both"/>
      </w:pPr>
      <w:r w:rsidRPr="00C571FE">
        <w:t>Valorisation du CO2 de l’industrie et des autres secteurs</w:t>
      </w:r>
      <w:r w:rsidR="00EF502E">
        <w:t> ;</w:t>
      </w:r>
    </w:p>
    <w:p w14:paraId="3866458D" w14:textId="6F675E3A" w:rsidR="00C571FE" w:rsidRDefault="00C571FE" w:rsidP="00C571FE">
      <w:pPr>
        <w:pStyle w:val="Paragraphedeliste"/>
        <w:numPr>
          <w:ilvl w:val="0"/>
          <w:numId w:val="30"/>
        </w:numPr>
        <w:pBdr>
          <w:top w:val="nil"/>
          <w:left w:val="nil"/>
          <w:bottom w:val="nil"/>
          <w:right w:val="nil"/>
          <w:between w:val="nil"/>
        </w:pBdr>
        <w:tabs>
          <w:tab w:val="left" w:pos="1307"/>
        </w:tabs>
        <w:jc w:val="both"/>
      </w:pPr>
      <w:r w:rsidRPr="00C571FE">
        <w:t>Technologies de conversion pour l’exploitation durable des sources de carbones</w:t>
      </w:r>
      <w:r w:rsidR="00EF502E">
        <w:t> ;</w:t>
      </w:r>
    </w:p>
    <w:p w14:paraId="57927292" w14:textId="7131871E" w:rsidR="00C571FE" w:rsidRDefault="00C571FE" w:rsidP="00C571FE">
      <w:pPr>
        <w:pStyle w:val="Paragraphedeliste"/>
        <w:numPr>
          <w:ilvl w:val="0"/>
          <w:numId w:val="30"/>
        </w:numPr>
        <w:pBdr>
          <w:top w:val="nil"/>
          <w:left w:val="nil"/>
          <w:bottom w:val="nil"/>
          <w:right w:val="nil"/>
          <w:between w:val="nil"/>
        </w:pBdr>
        <w:tabs>
          <w:tab w:val="left" w:pos="1307"/>
        </w:tabs>
        <w:jc w:val="both"/>
      </w:pPr>
      <w:r w:rsidRPr="00C571FE">
        <w:t>Électrification et utilisation de sources d’énergie non conventionnelles dans les installations industrielles</w:t>
      </w:r>
      <w:r w:rsidR="00EF502E">
        <w:t> ;</w:t>
      </w:r>
    </w:p>
    <w:p w14:paraId="1A362331" w14:textId="71EF7564" w:rsidR="00C571FE" w:rsidRDefault="00EF502E" w:rsidP="00C571FE">
      <w:pPr>
        <w:pStyle w:val="Paragraphedeliste"/>
        <w:numPr>
          <w:ilvl w:val="0"/>
          <w:numId w:val="30"/>
        </w:numPr>
        <w:pBdr>
          <w:top w:val="nil"/>
          <w:left w:val="nil"/>
          <w:bottom w:val="nil"/>
          <w:right w:val="nil"/>
          <w:between w:val="nil"/>
        </w:pBdr>
        <w:tabs>
          <w:tab w:val="left" w:pos="1307"/>
        </w:tabs>
        <w:jc w:val="both"/>
      </w:pPr>
      <w:r w:rsidRPr="00C571FE">
        <w:t>Échanges</w:t>
      </w:r>
      <w:r w:rsidR="00C571FE" w:rsidRPr="00C571FE">
        <w:t xml:space="preserve"> d’énergie et de ressources entre installations industrielles</w:t>
      </w:r>
      <w:r>
        <w:t> ;</w:t>
      </w:r>
    </w:p>
    <w:p w14:paraId="76FEDF44" w14:textId="21C9F9F7" w:rsidR="00C571FE" w:rsidRDefault="00C571FE" w:rsidP="00C571FE">
      <w:pPr>
        <w:pStyle w:val="Paragraphedeliste"/>
        <w:numPr>
          <w:ilvl w:val="0"/>
          <w:numId w:val="30"/>
        </w:numPr>
        <w:pBdr>
          <w:top w:val="nil"/>
          <w:left w:val="nil"/>
          <w:bottom w:val="nil"/>
          <w:right w:val="nil"/>
          <w:between w:val="nil"/>
        </w:pBdr>
        <w:tabs>
          <w:tab w:val="left" w:pos="1307"/>
        </w:tabs>
        <w:jc w:val="both"/>
      </w:pPr>
      <w:r w:rsidRPr="00C571FE">
        <w:t>Produits industriels nécessitant des procédés de production à émissions</w:t>
      </w:r>
      <w:r>
        <w:t xml:space="preserve"> </w:t>
      </w:r>
      <w:r w:rsidRPr="00C571FE">
        <w:t>de carbone faibles ou nulle sur l’ensemble du cycle de vie.</w:t>
      </w:r>
    </w:p>
    <w:p w14:paraId="5C872DEE" w14:textId="4B5D6CB7" w:rsidR="00816307" w:rsidRDefault="00816307" w:rsidP="00816307">
      <w:pPr>
        <w:pBdr>
          <w:top w:val="nil"/>
          <w:left w:val="nil"/>
          <w:bottom w:val="nil"/>
          <w:right w:val="nil"/>
          <w:between w:val="nil"/>
        </w:pBdr>
        <w:tabs>
          <w:tab w:val="left" w:pos="1307"/>
        </w:tabs>
        <w:jc w:val="both"/>
      </w:pPr>
    </w:p>
    <w:p w14:paraId="5A2085C4" w14:textId="2CB88F83" w:rsidR="00816307" w:rsidRDefault="00816307" w:rsidP="00816307">
      <w:pPr>
        <w:pBdr>
          <w:top w:val="nil"/>
          <w:left w:val="nil"/>
          <w:bottom w:val="nil"/>
          <w:right w:val="nil"/>
          <w:between w:val="nil"/>
        </w:pBdr>
        <w:tabs>
          <w:tab w:val="left" w:pos="1307"/>
        </w:tabs>
        <w:jc w:val="both"/>
      </w:pPr>
    </w:p>
    <w:p w14:paraId="3F66703A" w14:textId="57EC4087" w:rsidR="00816307" w:rsidRDefault="00816307" w:rsidP="00816307">
      <w:pPr>
        <w:pBdr>
          <w:top w:val="nil"/>
          <w:left w:val="nil"/>
          <w:bottom w:val="nil"/>
          <w:right w:val="nil"/>
          <w:between w:val="nil"/>
        </w:pBdr>
        <w:tabs>
          <w:tab w:val="left" w:pos="1307"/>
        </w:tabs>
        <w:jc w:val="both"/>
      </w:pPr>
    </w:p>
    <w:p w14:paraId="0000001C" w14:textId="77777777" w:rsidR="00CC781C" w:rsidRDefault="008F7158">
      <w:pPr>
        <w:pStyle w:val="Titre1"/>
        <w:ind w:firstLine="360"/>
      </w:pPr>
      <w:r>
        <w:t>Types de projets éligibles</w:t>
      </w:r>
    </w:p>
    <w:p w14:paraId="0000001D" w14:textId="77777777" w:rsidR="00CC781C" w:rsidRDefault="00CC781C">
      <w:pPr>
        <w:tabs>
          <w:tab w:val="left" w:pos="1307"/>
        </w:tabs>
        <w:jc w:val="both"/>
      </w:pPr>
    </w:p>
    <w:p w14:paraId="29CF3DE0" w14:textId="2203FF97" w:rsidR="007D7F68" w:rsidRPr="007D7F68" w:rsidRDefault="00DD7154" w:rsidP="004552EE">
      <w:pPr>
        <w:pBdr>
          <w:top w:val="nil"/>
          <w:left w:val="nil"/>
          <w:bottom w:val="nil"/>
          <w:right w:val="nil"/>
          <w:between w:val="nil"/>
        </w:pBdr>
        <w:tabs>
          <w:tab w:val="left" w:pos="1307"/>
        </w:tabs>
        <w:jc w:val="both"/>
      </w:pPr>
      <w:r>
        <w:rPr>
          <w:color w:val="000000"/>
        </w:rPr>
        <w:t xml:space="preserve">Le programme </w:t>
      </w:r>
      <w:r w:rsidR="001B0D68">
        <w:rPr>
          <w:color w:val="000000"/>
        </w:rPr>
        <w:t xml:space="preserve">Horizon Europe </w:t>
      </w:r>
      <w:r>
        <w:rPr>
          <w:color w:val="000000"/>
        </w:rPr>
        <w:t xml:space="preserve">finance </w:t>
      </w:r>
      <w:r w:rsidR="007D7F68">
        <w:rPr>
          <w:color w:val="000000"/>
        </w:rPr>
        <w:t>différents types de projet, appelés « Actions »</w:t>
      </w:r>
      <w:r w:rsidR="001B0D68">
        <w:rPr>
          <w:color w:val="000000"/>
        </w:rPr>
        <w:t xml:space="preserve">. </w:t>
      </w:r>
      <w:r w:rsidR="001B0D68" w:rsidRPr="00330D04">
        <w:rPr>
          <w:b/>
          <w:bCs/>
          <w:color w:val="000000"/>
        </w:rPr>
        <w:t>Chaque appel à projet</w:t>
      </w:r>
      <w:r w:rsidR="00EF502E">
        <w:rPr>
          <w:b/>
          <w:bCs/>
          <w:color w:val="000000"/>
        </w:rPr>
        <w:t>s</w:t>
      </w:r>
      <w:r w:rsidR="001B0D68" w:rsidRPr="00330D04">
        <w:rPr>
          <w:b/>
          <w:bCs/>
          <w:color w:val="000000"/>
        </w:rPr>
        <w:t xml:space="preserve"> spécifie dans quelle catégorie doivent se trouver les projets sélectionnés</w:t>
      </w:r>
      <w:r w:rsidR="001B0D68">
        <w:rPr>
          <w:color w:val="000000"/>
        </w:rPr>
        <w:t>. Les types de projets existants sont les suivants</w:t>
      </w:r>
      <w:r w:rsidR="00EF502E">
        <w:rPr>
          <w:color w:val="000000"/>
        </w:rPr>
        <w:t> :</w:t>
      </w:r>
    </w:p>
    <w:p w14:paraId="1E12B515" w14:textId="4EB9B3F4" w:rsidR="007D7F68" w:rsidRDefault="007D7F68" w:rsidP="007D7F68">
      <w:pPr>
        <w:pBdr>
          <w:top w:val="nil"/>
          <w:left w:val="nil"/>
          <w:bottom w:val="nil"/>
          <w:right w:val="nil"/>
          <w:between w:val="nil"/>
        </w:pBdr>
        <w:tabs>
          <w:tab w:val="left" w:pos="1307"/>
        </w:tabs>
        <w:jc w:val="both"/>
        <w:rPr>
          <w:color w:val="000000"/>
        </w:rPr>
      </w:pPr>
    </w:p>
    <w:p w14:paraId="13C838D8" w14:textId="77777777" w:rsidR="007D7F68" w:rsidRPr="007B2B31" w:rsidRDefault="007D7F68" w:rsidP="001B0D68">
      <w:pPr>
        <w:pStyle w:val="Paragraphedeliste"/>
        <w:numPr>
          <w:ilvl w:val="0"/>
          <w:numId w:val="10"/>
        </w:numPr>
        <w:pBdr>
          <w:between w:val="nil"/>
        </w:pBdr>
        <w:tabs>
          <w:tab w:val="left" w:pos="1307"/>
        </w:tabs>
        <w:jc w:val="both"/>
      </w:pPr>
      <w:r w:rsidRPr="007B2B31">
        <w:t xml:space="preserve">Actions de recherche et d'innovation (RIA- </w:t>
      </w:r>
      <w:proofErr w:type="spellStart"/>
      <w:r w:rsidRPr="007B2B31">
        <w:t>Research</w:t>
      </w:r>
      <w:proofErr w:type="spellEnd"/>
      <w:r w:rsidRPr="007B2B31">
        <w:t xml:space="preserve"> Innovation Action)</w:t>
      </w:r>
    </w:p>
    <w:p w14:paraId="09831B2A" w14:textId="77777777" w:rsidR="007D7F68" w:rsidRPr="007B2B31" w:rsidRDefault="007D7F68" w:rsidP="001B0D68">
      <w:pPr>
        <w:pStyle w:val="Paragraphedeliste"/>
        <w:numPr>
          <w:ilvl w:val="0"/>
          <w:numId w:val="10"/>
        </w:numPr>
        <w:pBdr>
          <w:between w:val="nil"/>
        </w:pBdr>
        <w:tabs>
          <w:tab w:val="left" w:pos="1307"/>
        </w:tabs>
        <w:jc w:val="both"/>
      </w:pPr>
      <w:r w:rsidRPr="007B2B31">
        <w:t>Actions d'innovation (IA - Innovation Action)</w:t>
      </w:r>
    </w:p>
    <w:p w14:paraId="421DB8F3" w14:textId="2110F527" w:rsidR="007D7F68" w:rsidRDefault="007D7F68" w:rsidP="001B0D68">
      <w:pPr>
        <w:pStyle w:val="Paragraphedeliste"/>
        <w:numPr>
          <w:ilvl w:val="0"/>
          <w:numId w:val="10"/>
        </w:numPr>
        <w:pBdr>
          <w:between w:val="nil"/>
        </w:pBdr>
        <w:tabs>
          <w:tab w:val="left" w:pos="1307"/>
        </w:tabs>
        <w:jc w:val="both"/>
      </w:pPr>
      <w:r w:rsidRPr="007B2B31">
        <w:t>Actions de soutien et de coordination (CSA - Coordination Support Action)</w:t>
      </w:r>
    </w:p>
    <w:p w14:paraId="22999BC8" w14:textId="4AE9C294" w:rsidR="001B0D68" w:rsidRDefault="001B0D68" w:rsidP="001B0D68">
      <w:pPr>
        <w:pStyle w:val="Paragraphedeliste"/>
        <w:numPr>
          <w:ilvl w:val="0"/>
          <w:numId w:val="10"/>
        </w:numPr>
        <w:pBdr>
          <w:between w:val="nil"/>
        </w:pBdr>
        <w:tabs>
          <w:tab w:val="left" w:pos="1307"/>
        </w:tabs>
        <w:jc w:val="both"/>
      </w:pPr>
      <w:proofErr w:type="spellStart"/>
      <w:r>
        <w:t>Cofund</w:t>
      </w:r>
      <w:proofErr w:type="spellEnd"/>
      <w:r>
        <w:t xml:space="preserve"> actions</w:t>
      </w:r>
    </w:p>
    <w:p w14:paraId="04DA8368" w14:textId="11F0A418" w:rsidR="001B0D68" w:rsidRDefault="001B0D68" w:rsidP="001B0D68">
      <w:pPr>
        <w:pBdr>
          <w:between w:val="nil"/>
        </w:pBdr>
        <w:tabs>
          <w:tab w:val="left" w:pos="1307"/>
        </w:tabs>
        <w:jc w:val="both"/>
      </w:pPr>
    </w:p>
    <w:p w14:paraId="57D3DA46" w14:textId="3141DAEA" w:rsidR="001B0D68" w:rsidRDefault="00EF502E" w:rsidP="001B0D68">
      <w:pPr>
        <w:pBdr>
          <w:between w:val="nil"/>
        </w:pBdr>
        <w:tabs>
          <w:tab w:val="left" w:pos="1307"/>
        </w:tabs>
        <w:jc w:val="both"/>
      </w:pPr>
      <w:r>
        <w:t xml:space="preserve">D’autres </w:t>
      </w:r>
      <w:r w:rsidR="001B0D68">
        <w:t>types d’actions existent, mais ne se trouveront que dans le pilier 1 ou dans le pilier 3.</w:t>
      </w:r>
    </w:p>
    <w:p w14:paraId="7A132119" w14:textId="77777777" w:rsidR="001B0D68" w:rsidRDefault="001B0D68" w:rsidP="00C13E80">
      <w:pPr>
        <w:pBdr>
          <w:top w:val="nil"/>
          <w:left w:val="nil"/>
          <w:bottom w:val="nil"/>
          <w:right w:val="nil"/>
          <w:between w:val="nil"/>
        </w:pBdr>
        <w:tabs>
          <w:tab w:val="left" w:pos="1307"/>
        </w:tabs>
        <w:jc w:val="both"/>
      </w:pPr>
    </w:p>
    <w:p w14:paraId="23712F12" w14:textId="31C846EB" w:rsidR="00C13E80" w:rsidRPr="004552EE" w:rsidRDefault="00C13E80" w:rsidP="00C13E80">
      <w:pPr>
        <w:pBdr>
          <w:top w:val="nil"/>
          <w:left w:val="nil"/>
          <w:bottom w:val="nil"/>
          <w:right w:val="nil"/>
          <w:between w:val="nil"/>
        </w:pBdr>
        <w:tabs>
          <w:tab w:val="left" w:pos="1307"/>
        </w:tabs>
        <w:jc w:val="both"/>
        <w:rPr>
          <w:sz w:val="21"/>
          <w:szCs w:val="21"/>
        </w:rPr>
      </w:pPr>
      <w:r w:rsidRPr="004552EE">
        <w:rPr>
          <w:sz w:val="21"/>
          <w:szCs w:val="21"/>
        </w:rPr>
        <w:t>Pour plus d’information sur les différents types de projets,</w:t>
      </w:r>
      <w:r w:rsidR="00EF502E" w:rsidRPr="004552EE">
        <w:rPr>
          <w:sz w:val="21"/>
          <w:szCs w:val="21"/>
        </w:rPr>
        <w:t xml:space="preserve"> se référer à la fiche de présentation générale du programme Horizon Europe, ou rendez-vous</w:t>
      </w:r>
      <w:r w:rsidRPr="004552EE">
        <w:rPr>
          <w:sz w:val="21"/>
          <w:szCs w:val="21"/>
        </w:rPr>
        <w:t xml:space="preserve"> </w:t>
      </w:r>
      <w:hyperlink r:id="rId13" w:anchor="action-recherche-innovation" w:history="1">
        <w:r w:rsidRPr="004552EE">
          <w:rPr>
            <w:rStyle w:val="Lienhypertexte"/>
            <w:sz w:val="21"/>
            <w:szCs w:val="21"/>
          </w:rPr>
          <w:t>ici</w:t>
        </w:r>
      </w:hyperlink>
      <w:r w:rsidR="00EF502E" w:rsidRPr="004552EE">
        <w:rPr>
          <w:sz w:val="21"/>
          <w:szCs w:val="21"/>
        </w:rPr>
        <w:t>.</w:t>
      </w:r>
    </w:p>
    <w:p w14:paraId="05B06BA5" w14:textId="21242B3C" w:rsidR="005B3BAF" w:rsidRDefault="005B3BAF" w:rsidP="00754CB4">
      <w:pPr>
        <w:pBdr>
          <w:top w:val="nil"/>
          <w:left w:val="nil"/>
          <w:bottom w:val="nil"/>
          <w:right w:val="nil"/>
          <w:between w:val="nil"/>
        </w:pBdr>
        <w:tabs>
          <w:tab w:val="left" w:pos="1307"/>
        </w:tabs>
        <w:jc w:val="both"/>
      </w:pPr>
    </w:p>
    <w:p w14:paraId="71F4D6A0" w14:textId="77777777" w:rsidR="001B0D68" w:rsidRDefault="001B0D68" w:rsidP="00754CB4">
      <w:pPr>
        <w:pBdr>
          <w:top w:val="nil"/>
          <w:left w:val="nil"/>
          <w:bottom w:val="nil"/>
          <w:right w:val="nil"/>
          <w:between w:val="nil"/>
        </w:pBdr>
        <w:tabs>
          <w:tab w:val="left" w:pos="1307"/>
        </w:tabs>
        <w:jc w:val="both"/>
      </w:pPr>
    </w:p>
    <w:p w14:paraId="231A85A9" w14:textId="163C1B1C" w:rsidR="005B3BAF" w:rsidRPr="00E7402D" w:rsidRDefault="005B3BAF" w:rsidP="00E7402D">
      <w:pPr>
        <w:pStyle w:val="Paragraphedeliste"/>
        <w:numPr>
          <w:ilvl w:val="0"/>
          <w:numId w:val="21"/>
        </w:numPr>
        <w:pBdr>
          <w:top w:val="nil"/>
          <w:left w:val="nil"/>
          <w:bottom w:val="nil"/>
          <w:right w:val="nil"/>
          <w:between w:val="nil"/>
        </w:pBdr>
        <w:tabs>
          <w:tab w:val="left" w:pos="1307"/>
        </w:tabs>
        <w:jc w:val="both"/>
        <w:rPr>
          <w:b/>
          <w:bCs/>
        </w:rPr>
      </w:pPr>
      <w:r w:rsidRPr="00E7402D">
        <w:rPr>
          <w:b/>
          <w:bCs/>
        </w:rPr>
        <w:t xml:space="preserve">Appels du cluster </w:t>
      </w:r>
      <w:r w:rsidR="004A2228">
        <w:rPr>
          <w:b/>
          <w:bCs/>
        </w:rPr>
        <w:t>4</w:t>
      </w:r>
      <w:r w:rsidRPr="00E7402D">
        <w:rPr>
          <w:b/>
          <w:bCs/>
        </w:rPr>
        <w:t xml:space="preserve"> en lien avec les objectifs </w:t>
      </w:r>
      <w:r w:rsidR="00BB387A">
        <w:rPr>
          <w:b/>
          <w:bCs/>
        </w:rPr>
        <w:t>environnementaux du territoire du</w:t>
      </w:r>
      <w:r w:rsidRPr="00E7402D">
        <w:rPr>
          <w:b/>
          <w:bCs/>
        </w:rPr>
        <w:t xml:space="preserve"> Grand Est </w:t>
      </w:r>
    </w:p>
    <w:p w14:paraId="7DB1C2FD" w14:textId="77777777" w:rsidR="005B3BAF" w:rsidRDefault="005B3BAF" w:rsidP="00754CB4">
      <w:pPr>
        <w:pBdr>
          <w:top w:val="nil"/>
          <w:left w:val="nil"/>
          <w:bottom w:val="nil"/>
          <w:right w:val="nil"/>
          <w:between w:val="nil"/>
        </w:pBdr>
        <w:tabs>
          <w:tab w:val="left" w:pos="1307"/>
        </w:tabs>
        <w:jc w:val="both"/>
      </w:pPr>
    </w:p>
    <w:p w14:paraId="5AA65EBA" w14:textId="76EB2CCB" w:rsidR="00E7402D" w:rsidRDefault="00BB387A" w:rsidP="00754CB4">
      <w:pPr>
        <w:pBdr>
          <w:top w:val="nil"/>
          <w:left w:val="nil"/>
          <w:bottom w:val="nil"/>
          <w:right w:val="nil"/>
          <w:between w:val="nil"/>
        </w:pBdr>
        <w:tabs>
          <w:tab w:val="left" w:pos="1307"/>
        </w:tabs>
        <w:jc w:val="both"/>
      </w:pPr>
      <w:r>
        <w:t xml:space="preserve">Il s’agit principalement des appels situés dans les différentes Destinations décrites ci-dessus. Ils sont néanmoins trop </w:t>
      </w:r>
      <w:r w:rsidR="004A2228">
        <w:t xml:space="preserve">nombreux pour être listés ici. </w:t>
      </w:r>
      <w:r w:rsidR="00767CE4">
        <w:t>Le programme de travail peut sembler long (460 pages)</w:t>
      </w:r>
      <w:r w:rsidR="004A2228">
        <w:t xml:space="preserve"> mais</w:t>
      </w:r>
      <w:r w:rsidR="00767CE4">
        <w:t xml:space="preserve"> il</w:t>
      </w:r>
      <w:r w:rsidR="004A2228">
        <w:t xml:space="preserve"> permet de pouvoir trouver les appels </w:t>
      </w:r>
      <w:r w:rsidR="0036444E">
        <w:t xml:space="preserve">les plus pertinents pour son domaine </w:t>
      </w:r>
      <w:r w:rsidR="004A2228">
        <w:t>facilement :</w:t>
      </w:r>
    </w:p>
    <w:p w14:paraId="1D890C07" w14:textId="45C81CC9" w:rsidR="004A2228" w:rsidRDefault="004A2228" w:rsidP="004A2228">
      <w:pPr>
        <w:pStyle w:val="Paragraphedeliste"/>
        <w:numPr>
          <w:ilvl w:val="0"/>
          <w:numId w:val="10"/>
        </w:numPr>
        <w:pBdr>
          <w:top w:val="nil"/>
          <w:left w:val="nil"/>
          <w:bottom w:val="nil"/>
          <w:right w:val="nil"/>
          <w:between w:val="nil"/>
        </w:pBdr>
        <w:tabs>
          <w:tab w:val="left" w:pos="1307"/>
        </w:tabs>
        <w:jc w:val="both"/>
      </w:pPr>
      <w:r>
        <w:t>La longueur du document est d</w:t>
      </w:r>
      <w:r w:rsidR="004B082F">
        <w:t>ue</w:t>
      </w:r>
      <w:r>
        <w:t xml:space="preserve"> à la description individuelle de chaque appel sur 3 ou 4 pages, pour expliquer les attentes de la Commission et la logique attendue dans les réponses.</w:t>
      </w:r>
    </w:p>
    <w:p w14:paraId="7FE1AD0E" w14:textId="3969B820" w:rsidR="004A2228" w:rsidRDefault="004A2228" w:rsidP="004A2228">
      <w:pPr>
        <w:pStyle w:val="Paragraphedeliste"/>
        <w:numPr>
          <w:ilvl w:val="0"/>
          <w:numId w:val="10"/>
        </w:numPr>
        <w:pBdr>
          <w:top w:val="nil"/>
          <w:left w:val="nil"/>
          <w:bottom w:val="nil"/>
          <w:right w:val="nil"/>
          <w:between w:val="nil"/>
        </w:pBdr>
        <w:tabs>
          <w:tab w:val="left" w:pos="1307"/>
        </w:tabs>
        <w:jc w:val="both"/>
      </w:pPr>
      <w:r>
        <w:t>La liste des appels fait elle « uniquement » une dizaine de page, organisée en table des matières en tête de document. Les appels y sont classés par Destination, ce qui permet aux porteur</w:t>
      </w:r>
      <w:r w:rsidR="004B082F">
        <w:t>s</w:t>
      </w:r>
      <w:r>
        <w:t xml:space="preserve"> de projet de ne lire que les parties intéressantes pour eux.</w:t>
      </w:r>
    </w:p>
    <w:p w14:paraId="71296415" w14:textId="77777777" w:rsidR="004A2228" w:rsidRDefault="004A2228" w:rsidP="004A2228">
      <w:pPr>
        <w:pBdr>
          <w:top w:val="nil"/>
          <w:left w:val="nil"/>
          <w:bottom w:val="nil"/>
          <w:right w:val="nil"/>
          <w:between w:val="nil"/>
        </w:pBdr>
        <w:tabs>
          <w:tab w:val="left" w:pos="1307"/>
        </w:tabs>
        <w:jc w:val="both"/>
      </w:pPr>
    </w:p>
    <w:p w14:paraId="3D0D2A18" w14:textId="76F92CC9" w:rsidR="00767CE4" w:rsidRDefault="00116B2B" w:rsidP="004A2228">
      <w:pPr>
        <w:pBdr>
          <w:top w:val="nil"/>
          <w:left w:val="nil"/>
          <w:bottom w:val="nil"/>
          <w:right w:val="nil"/>
          <w:between w:val="nil"/>
        </w:pBdr>
        <w:tabs>
          <w:tab w:val="left" w:pos="1307"/>
        </w:tabs>
        <w:jc w:val="both"/>
      </w:pPr>
      <w:r>
        <w:t xml:space="preserve">Une recherche par mot clé permet également de trouver facilement certains appels, et d’obtenir des informations plus précises sur ceux-ci. </w:t>
      </w:r>
    </w:p>
    <w:p w14:paraId="50380F7F" w14:textId="11B74FBC" w:rsidR="002A4F31" w:rsidRDefault="002A4F31" w:rsidP="004A2228">
      <w:pPr>
        <w:pBdr>
          <w:top w:val="nil"/>
          <w:left w:val="nil"/>
          <w:bottom w:val="nil"/>
          <w:right w:val="nil"/>
          <w:between w:val="nil"/>
        </w:pBdr>
        <w:tabs>
          <w:tab w:val="left" w:pos="1307"/>
        </w:tabs>
        <w:jc w:val="both"/>
      </w:pPr>
    </w:p>
    <w:p w14:paraId="407A958C" w14:textId="3F568FCD" w:rsidR="002A4F31" w:rsidRDefault="002A4F31" w:rsidP="004A2228">
      <w:pPr>
        <w:pBdr>
          <w:top w:val="nil"/>
          <w:left w:val="nil"/>
          <w:bottom w:val="nil"/>
          <w:right w:val="nil"/>
          <w:between w:val="nil"/>
        </w:pBdr>
        <w:tabs>
          <w:tab w:val="left" w:pos="1307"/>
        </w:tabs>
        <w:jc w:val="both"/>
      </w:pPr>
      <w:r>
        <w:t xml:space="preserve">Le programme </w:t>
      </w:r>
      <w:r w:rsidRPr="002A4F31">
        <w:t>H</w:t>
      </w:r>
      <w:r>
        <w:t xml:space="preserve">orizon </w:t>
      </w:r>
      <w:r w:rsidRPr="002A4F31">
        <w:t>E</w:t>
      </w:r>
      <w:r>
        <w:t>urope</w:t>
      </w:r>
      <w:r w:rsidRPr="002A4F31">
        <w:t xml:space="preserve"> a pour avantage de préciser pour chaque appel l</w:t>
      </w:r>
      <w:r>
        <w:t xml:space="preserve">a date d’ouverture et de clôture de l’appel, le </w:t>
      </w:r>
      <w:r w:rsidRPr="002A4F31">
        <w:t>volume budgétaire globalement attendu des projets</w:t>
      </w:r>
      <w:r>
        <w:t xml:space="preserve"> (</w:t>
      </w:r>
      <w:r w:rsidRPr="002A4F31">
        <w:t xml:space="preserve">ce qui permet de </w:t>
      </w:r>
      <w:r w:rsidR="00BB387A">
        <w:t>d’estimer les attentes</w:t>
      </w:r>
      <w:r w:rsidRPr="002A4F31">
        <w:t xml:space="preserve"> en termes d’envergure</w:t>
      </w:r>
      <w:r>
        <w:t>)</w:t>
      </w:r>
      <w:r w:rsidRPr="002A4F31">
        <w:t xml:space="preserve"> et le nombre de projets qui seront financés</w:t>
      </w:r>
      <w:r>
        <w:t xml:space="preserve"> (</w:t>
      </w:r>
      <w:r w:rsidRPr="002A4F31">
        <w:t xml:space="preserve">ce qui </w:t>
      </w:r>
      <w:r w:rsidR="00BB387A">
        <w:t xml:space="preserve">permet d’estimer les attentes </w:t>
      </w:r>
      <w:r w:rsidRPr="002A4F31">
        <w:t>en termes de compétitivité</w:t>
      </w:r>
      <w:r>
        <w:t>). Voici un exemple :</w:t>
      </w:r>
    </w:p>
    <w:p w14:paraId="57601D40" w14:textId="1D4F15BD" w:rsidR="002A4F31" w:rsidRDefault="002A4F31" w:rsidP="004A2228">
      <w:pPr>
        <w:pBdr>
          <w:top w:val="nil"/>
          <w:left w:val="nil"/>
          <w:bottom w:val="nil"/>
          <w:right w:val="nil"/>
          <w:between w:val="nil"/>
        </w:pBdr>
        <w:tabs>
          <w:tab w:val="left" w:pos="1307"/>
        </w:tabs>
        <w:jc w:val="both"/>
      </w:pPr>
    </w:p>
    <w:p w14:paraId="7E01C64D" w14:textId="120EB106" w:rsidR="002A4F31" w:rsidRDefault="002A4F31" w:rsidP="004A2228">
      <w:pPr>
        <w:pBdr>
          <w:top w:val="nil"/>
          <w:left w:val="nil"/>
          <w:bottom w:val="nil"/>
          <w:right w:val="nil"/>
          <w:between w:val="nil"/>
        </w:pBdr>
        <w:tabs>
          <w:tab w:val="left" w:pos="1307"/>
        </w:tabs>
        <w:jc w:val="both"/>
      </w:pPr>
      <w:r>
        <w:rPr>
          <w:noProof/>
        </w:rPr>
        <w:drawing>
          <wp:inline distT="0" distB="0" distL="0" distR="0" wp14:anchorId="58A9EB60" wp14:editId="2F94E82F">
            <wp:extent cx="5538996" cy="2389505"/>
            <wp:effectExtent l="0" t="0" r="0" b="0"/>
            <wp:docPr id="3" name="Image 3" descr="Une image contenant 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able&#10;&#10;Description générée automatiquement"/>
                    <pic:cNvPicPr/>
                  </pic:nvPicPr>
                  <pic:blipFill rotWithShape="1">
                    <a:blip r:embed="rId14">
                      <a:extLst>
                        <a:ext uri="{28A0092B-C50C-407E-A947-70E740481C1C}">
                          <a14:useLocalDpi xmlns:a14="http://schemas.microsoft.com/office/drawing/2010/main" val="0"/>
                        </a:ext>
                      </a:extLst>
                    </a:blip>
                    <a:srcRect/>
                    <a:stretch/>
                  </pic:blipFill>
                  <pic:spPr bwMode="auto">
                    <a:xfrm>
                      <a:off x="0" y="0"/>
                      <a:ext cx="5542633" cy="2391074"/>
                    </a:xfrm>
                    <a:prstGeom prst="rect">
                      <a:avLst/>
                    </a:prstGeom>
                    <a:ln>
                      <a:noFill/>
                    </a:ln>
                    <a:extLst>
                      <a:ext uri="{53640926-AAD7-44D8-BBD7-CCE9431645EC}">
                        <a14:shadowObscured xmlns:a14="http://schemas.microsoft.com/office/drawing/2010/main"/>
                      </a:ext>
                    </a:extLst>
                  </pic:spPr>
                </pic:pic>
              </a:graphicData>
            </a:graphic>
          </wp:inline>
        </w:drawing>
      </w:r>
    </w:p>
    <w:p w14:paraId="5FF7D141" w14:textId="77777777" w:rsidR="00767CE4" w:rsidRDefault="00767CE4" w:rsidP="004A2228">
      <w:pPr>
        <w:pBdr>
          <w:top w:val="nil"/>
          <w:left w:val="nil"/>
          <w:bottom w:val="nil"/>
          <w:right w:val="nil"/>
          <w:between w:val="nil"/>
        </w:pBdr>
        <w:tabs>
          <w:tab w:val="left" w:pos="1307"/>
        </w:tabs>
        <w:jc w:val="both"/>
      </w:pPr>
    </w:p>
    <w:p w14:paraId="0ED5F730" w14:textId="4E904077" w:rsidR="00767CE4" w:rsidRDefault="00D113AB" w:rsidP="004A2228">
      <w:pPr>
        <w:pBdr>
          <w:top w:val="nil"/>
          <w:left w:val="nil"/>
          <w:bottom w:val="nil"/>
          <w:right w:val="nil"/>
          <w:between w:val="nil"/>
        </w:pBdr>
        <w:tabs>
          <w:tab w:val="left" w:pos="1307"/>
        </w:tabs>
        <w:jc w:val="both"/>
      </w:pPr>
      <w:r>
        <w:t>Des</w:t>
      </w:r>
      <w:r w:rsidR="00767CE4">
        <w:t xml:space="preserve"> tableau</w:t>
      </w:r>
      <w:r w:rsidR="00BB387A">
        <w:t xml:space="preserve">x </w:t>
      </w:r>
      <w:r w:rsidR="00767CE4">
        <w:t>récapitulatif</w:t>
      </w:r>
      <w:r w:rsidR="00BB387A">
        <w:t>s</w:t>
      </w:r>
      <w:r w:rsidR="00767CE4">
        <w:t xml:space="preserve"> de tous les appels </w:t>
      </w:r>
      <w:r>
        <w:t>sont joint au des chapitres de chaque Destination.</w:t>
      </w:r>
    </w:p>
    <w:p w14:paraId="4F0B3E1B" w14:textId="190F7A9F" w:rsidR="00767CE4" w:rsidRDefault="00767CE4" w:rsidP="004A2228">
      <w:pPr>
        <w:pBdr>
          <w:top w:val="nil"/>
          <w:left w:val="nil"/>
          <w:bottom w:val="nil"/>
          <w:right w:val="nil"/>
          <w:between w:val="nil"/>
        </w:pBdr>
        <w:tabs>
          <w:tab w:val="left" w:pos="1307"/>
        </w:tabs>
        <w:jc w:val="both"/>
      </w:pPr>
    </w:p>
    <w:p w14:paraId="01DFE694" w14:textId="35371243" w:rsidR="00767CE4" w:rsidRDefault="00767CE4" w:rsidP="004A2228">
      <w:pPr>
        <w:pBdr>
          <w:top w:val="nil"/>
          <w:left w:val="nil"/>
          <w:bottom w:val="nil"/>
          <w:right w:val="nil"/>
          <w:between w:val="nil"/>
        </w:pBdr>
        <w:tabs>
          <w:tab w:val="left" w:pos="1307"/>
        </w:tabs>
        <w:jc w:val="both"/>
      </w:pPr>
    </w:p>
    <w:p w14:paraId="61E92C34" w14:textId="77777777" w:rsidR="00A9074D" w:rsidRDefault="00767CE4" w:rsidP="004A2228">
      <w:pPr>
        <w:pBdr>
          <w:top w:val="nil"/>
          <w:left w:val="nil"/>
          <w:bottom w:val="nil"/>
          <w:right w:val="nil"/>
          <w:between w:val="nil"/>
        </w:pBdr>
        <w:tabs>
          <w:tab w:val="left" w:pos="1307"/>
        </w:tabs>
        <w:jc w:val="both"/>
      </w:pPr>
      <w:r>
        <w:t>Enfin, chaque appel à projet</w:t>
      </w:r>
      <w:r w:rsidR="004B082F">
        <w:t>s</w:t>
      </w:r>
      <w:r>
        <w:t xml:space="preserve"> dispose de sa description propre, avec la mention des exceptions aux règles habituelles si pertinent, et des précisions sur les attendus de la Commission.</w:t>
      </w:r>
      <w:r w:rsidR="00A9074D">
        <w:t xml:space="preserve"> Un appel à projet précisera toujours :</w:t>
      </w:r>
    </w:p>
    <w:p w14:paraId="0BC3604D" w14:textId="77777777" w:rsidR="00A9074D" w:rsidRPr="004552EE" w:rsidRDefault="00A9074D" w:rsidP="00A9074D">
      <w:pPr>
        <w:pStyle w:val="Paragraphedeliste"/>
        <w:numPr>
          <w:ilvl w:val="0"/>
          <w:numId w:val="10"/>
        </w:numPr>
        <w:pBdr>
          <w:top w:val="nil"/>
          <w:left w:val="nil"/>
          <w:bottom w:val="nil"/>
          <w:right w:val="nil"/>
          <w:between w:val="nil"/>
        </w:pBdr>
        <w:tabs>
          <w:tab w:val="left" w:pos="1307"/>
        </w:tabs>
        <w:jc w:val="both"/>
        <w:rPr>
          <w:lang w:val="en-GB"/>
        </w:rPr>
      </w:pPr>
      <w:r>
        <w:t>Le titre de l’appel</w:t>
      </w:r>
    </w:p>
    <w:p w14:paraId="3CFB4E26" w14:textId="77777777" w:rsidR="00A9074D" w:rsidRDefault="00A9074D" w:rsidP="00A9074D">
      <w:pPr>
        <w:pStyle w:val="Paragraphedeliste"/>
        <w:numPr>
          <w:ilvl w:val="0"/>
          <w:numId w:val="10"/>
        </w:numPr>
        <w:pBdr>
          <w:top w:val="nil"/>
          <w:left w:val="nil"/>
          <w:bottom w:val="nil"/>
          <w:right w:val="nil"/>
          <w:between w:val="nil"/>
        </w:pBdr>
        <w:tabs>
          <w:tab w:val="left" w:pos="1307"/>
        </w:tabs>
        <w:jc w:val="both"/>
      </w:pPr>
      <w:r>
        <w:t>Le montant de subvention prévu par projet (estimatif)</w:t>
      </w:r>
    </w:p>
    <w:p w14:paraId="4ADB5A01" w14:textId="77777777" w:rsidR="00A9074D" w:rsidRDefault="00A9074D" w:rsidP="00A9074D">
      <w:pPr>
        <w:pStyle w:val="Paragraphedeliste"/>
        <w:numPr>
          <w:ilvl w:val="0"/>
          <w:numId w:val="10"/>
        </w:numPr>
        <w:pBdr>
          <w:top w:val="nil"/>
          <w:left w:val="nil"/>
          <w:bottom w:val="nil"/>
          <w:right w:val="nil"/>
          <w:between w:val="nil"/>
        </w:pBdr>
        <w:tabs>
          <w:tab w:val="left" w:pos="1307"/>
        </w:tabs>
        <w:jc w:val="both"/>
      </w:pPr>
      <w:r>
        <w:t>L’enveloppe totale prévue par la Commission pour l’appel (ce qui permet de calculer le nombre de projets qui seront financés, approximativement)</w:t>
      </w:r>
    </w:p>
    <w:p w14:paraId="7E354CB5" w14:textId="77777777" w:rsidR="00A9074D" w:rsidRDefault="00A9074D" w:rsidP="00A9074D">
      <w:pPr>
        <w:pStyle w:val="Paragraphedeliste"/>
        <w:numPr>
          <w:ilvl w:val="0"/>
          <w:numId w:val="10"/>
        </w:numPr>
        <w:pBdr>
          <w:top w:val="nil"/>
          <w:left w:val="nil"/>
          <w:bottom w:val="nil"/>
          <w:right w:val="nil"/>
          <w:between w:val="nil"/>
        </w:pBdr>
        <w:tabs>
          <w:tab w:val="left" w:pos="1307"/>
        </w:tabs>
        <w:jc w:val="both"/>
      </w:pPr>
      <w:r>
        <w:t>Le type de projet attendus (RIA, IA, CSA ou COFUND)</w:t>
      </w:r>
    </w:p>
    <w:p w14:paraId="187BEFDC" w14:textId="77777777" w:rsidR="00A9074D" w:rsidRDefault="00A9074D" w:rsidP="00A9074D">
      <w:pPr>
        <w:pStyle w:val="Paragraphedeliste"/>
        <w:numPr>
          <w:ilvl w:val="0"/>
          <w:numId w:val="10"/>
        </w:numPr>
        <w:pBdr>
          <w:top w:val="nil"/>
          <w:left w:val="nil"/>
          <w:bottom w:val="nil"/>
          <w:right w:val="nil"/>
          <w:between w:val="nil"/>
        </w:pBdr>
        <w:tabs>
          <w:tab w:val="left" w:pos="1307"/>
        </w:tabs>
        <w:jc w:val="both"/>
      </w:pPr>
      <w:r>
        <w:t>Les potentielles exceptions/modifications des règles habituelles (par exemple, pour un projet IA, une subvention à 60% plutôt qu’à 70%)</w:t>
      </w:r>
    </w:p>
    <w:p w14:paraId="6B0C6241" w14:textId="2776ED57" w:rsidR="00A9074D" w:rsidRDefault="00A9074D" w:rsidP="00A9074D">
      <w:pPr>
        <w:pStyle w:val="Paragraphedeliste"/>
        <w:numPr>
          <w:ilvl w:val="0"/>
          <w:numId w:val="10"/>
        </w:numPr>
        <w:pBdr>
          <w:top w:val="nil"/>
          <w:left w:val="nil"/>
          <w:bottom w:val="nil"/>
          <w:right w:val="nil"/>
          <w:between w:val="nil"/>
        </w:pBdr>
        <w:tabs>
          <w:tab w:val="left" w:pos="1307"/>
        </w:tabs>
        <w:jc w:val="both"/>
      </w:pPr>
      <w:r>
        <w:t>Les niveaux de TRL de départ et ceux d’arrivée</w:t>
      </w:r>
    </w:p>
    <w:p w14:paraId="29D01AFA" w14:textId="31795F37" w:rsidR="00A9074D" w:rsidRPr="004552EE" w:rsidRDefault="00A9074D" w:rsidP="004552EE">
      <w:pPr>
        <w:pBdr>
          <w:top w:val="nil"/>
          <w:left w:val="nil"/>
          <w:bottom w:val="nil"/>
          <w:right w:val="nil"/>
          <w:between w:val="nil"/>
        </w:pBdr>
        <w:tabs>
          <w:tab w:val="left" w:pos="1307"/>
        </w:tabs>
        <w:jc w:val="both"/>
      </w:pPr>
    </w:p>
    <w:p w14:paraId="75385687" w14:textId="54541769" w:rsidR="00A9074D" w:rsidRDefault="00767CE4" w:rsidP="00767CE4">
      <w:pPr>
        <w:pBdr>
          <w:top w:val="single" w:sz="4" w:space="1" w:color="auto"/>
          <w:left w:val="single" w:sz="4" w:space="1" w:color="auto"/>
          <w:bottom w:val="single" w:sz="4" w:space="1" w:color="auto"/>
          <w:right w:val="single" w:sz="4" w:space="1" w:color="auto"/>
          <w:between w:val="nil"/>
        </w:pBdr>
        <w:tabs>
          <w:tab w:val="left" w:pos="1307"/>
        </w:tabs>
        <w:jc w:val="both"/>
      </w:pPr>
      <w:r>
        <w:t xml:space="preserve">Pour savoir </w:t>
      </w:r>
      <w:r w:rsidR="0053631A">
        <w:t xml:space="preserve">si </w:t>
      </w:r>
      <w:r>
        <w:t>le Cluster 4 d’Horizon Europe permettrait de financer un projet il est donc indispensable de se pencher sur ce programme de travail</w:t>
      </w:r>
      <w:r w:rsidR="0036444E">
        <w:t xml:space="preserve"> en y</w:t>
      </w:r>
      <w:r>
        <w:t xml:space="preserve"> chercher les mots-clés pertinents, ou </w:t>
      </w:r>
      <w:r w:rsidR="0036444E">
        <w:t>en étudiant</w:t>
      </w:r>
      <w:r>
        <w:t xml:space="preserve"> les Destinations qui semblent correspondre à la thématique choisie.</w:t>
      </w:r>
    </w:p>
    <w:p w14:paraId="0000002D" w14:textId="77777777" w:rsidR="00CC781C" w:rsidRDefault="008F7158">
      <w:pPr>
        <w:pStyle w:val="Titre1"/>
        <w:ind w:firstLine="360"/>
      </w:pPr>
      <w:r>
        <w:t>Dispositions administratives et financières</w:t>
      </w:r>
    </w:p>
    <w:p w14:paraId="3EBC5E79" w14:textId="5B811FB2" w:rsidR="00564E60" w:rsidRDefault="00564E60" w:rsidP="00564E60">
      <w:pPr>
        <w:pBdr>
          <w:top w:val="nil"/>
          <w:left w:val="nil"/>
          <w:bottom w:val="nil"/>
          <w:right w:val="nil"/>
          <w:between w:val="nil"/>
        </w:pBdr>
        <w:tabs>
          <w:tab w:val="left" w:pos="1307"/>
        </w:tabs>
        <w:jc w:val="both"/>
        <w:rPr>
          <w:color w:val="000000"/>
        </w:rPr>
      </w:pPr>
    </w:p>
    <w:p w14:paraId="3F5F4428" w14:textId="77777777" w:rsidR="00564E60" w:rsidRDefault="00564E60" w:rsidP="00564E60">
      <w:pPr>
        <w:pStyle w:val="Paragraphedeliste"/>
        <w:numPr>
          <w:ilvl w:val="0"/>
          <w:numId w:val="34"/>
        </w:numPr>
        <w:tabs>
          <w:tab w:val="left" w:pos="1307"/>
        </w:tabs>
        <w:jc w:val="both"/>
      </w:pPr>
      <w:r>
        <w:rPr>
          <w:b/>
          <w:bCs/>
        </w:rPr>
        <w:t>Les coûts éligibles</w:t>
      </w:r>
      <w:r>
        <w:t xml:space="preserve"> (c’est-à-dire les coûts qui peuvent être déclarés dans le budget et pris en compte pour le calcul de la subvention) sont les suivants : </w:t>
      </w:r>
    </w:p>
    <w:p w14:paraId="0F5D31B0" w14:textId="77777777" w:rsidR="00564E60" w:rsidRDefault="00564E60" w:rsidP="00564E60">
      <w:pPr>
        <w:pStyle w:val="Paragraphedeliste"/>
        <w:numPr>
          <w:ilvl w:val="0"/>
          <w:numId w:val="35"/>
        </w:numPr>
        <w:tabs>
          <w:tab w:val="left" w:pos="1307"/>
        </w:tabs>
        <w:jc w:val="both"/>
      </w:pPr>
      <w:r>
        <w:rPr>
          <w:u w:val="single"/>
        </w:rPr>
        <w:t>Coûts de personnel</w:t>
      </w:r>
      <w:r>
        <w:t xml:space="preserve"> – déclaration aux coûts réels (ou déclaration aux taux journalier si c’est la pratique habituelle)</w:t>
      </w:r>
    </w:p>
    <w:p w14:paraId="0547E8CF" w14:textId="77777777" w:rsidR="00564E60" w:rsidRDefault="00564E60" w:rsidP="00564E60">
      <w:pPr>
        <w:pStyle w:val="Paragraphedeliste"/>
        <w:numPr>
          <w:ilvl w:val="1"/>
          <w:numId w:val="35"/>
        </w:numPr>
        <w:tabs>
          <w:tab w:val="left" w:pos="1307"/>
        </w:tabs>
        <w:jc w:val="both"/>
      </w:pPr>
      <w:r>
        <w:t>Employés</w:t>
      </w:r>
    </w:p>
    <w:p w14:paraId="32BB05B2" w14:textId="77777777" w:rsidR="00564E60" w:rsidRDefault="00564E60" w:rsidP="00564E60">
      <w:pPr>
        <w:pStyle w:val="Paragraphedeliste"/>
        <w:numPr>
          <w:ilvl w:val="1"/>
          <w:numId w:val="35"/>
        </w:numPr>
        <w:tabs>
          <w:tab w:val="left" w:pos="1307"/>
        </w:tabs>
        <w:jc w:val="both"/>
      </w:pPr>
      <w:r>
        <w:t>Personnes physiques sous contrats directs</w:t>
      </w:r>
    </w:p>
    <w:p w14:paraId="4BD655DB" w14:textId="77777777" w:rsidR="00564E60" w:rsidRDefault="00564E60" w:rsidP="00564E60">
      <w:pPr>
        <w:pStyle w:val="Paragraphedeliste"/>
        <w:numPr>
          <w:ilvl w:val="1"/>
          <w:numId w:val="35"/>
        </w:numPr>
        <w:tabs>
          <w:tab w:val="left" w:pos="1307"/>
        </w:tabs>
        <w:jc w:val="both"/>
      </w:pPr>
      <w:r>
        <w:t>Personnels détachés par un tiers contre paiement</w:t>
      </w:r>
    </w:p>
    <w:p w14:paraId="78A88461" w14:textId="77777777" w:rsidR="00564E60" w:rsidRDefault="00564E60" w:rsidP="00564E60">
      <w:pPr>
        <w:pStyle w:val="Paragraphedeliste"/>
        <w:numPr>
          <w:ilvl w:val="1"/>
          <w:numId w:val="35"/>
        </w:numPr>
        <w:tabs>
          <w:tab w:val="left" w:pos="1307"/>
        </w:tabs>
        <w:jc w:val="both"/>
      </w:pPr>
      <w:r>
        <w:t>Directeurs de PME sans salaire</w:t>
      </w:r>
    </w:p>
    <w:p w14:paraId="73EB6490" w14:textId="77777777" w:rsidR="00564E60" w:rsidRDefault="00564E60" w:rsidP="00564E60">
      <w:pPr>
        <w:pStyle w:val="Paragraphedeliste"/>
        <w:numPr>
          <w:ilvl w:val="0"/>
          <w:numId w:val="35"/>
        </w:numPr>
        <w:tabs>
          <w:tab w:val="left" w:pos="1307"/>
        </w:tabs>
        <w:jc w:val="both"/>
      </w:pPr>
      <w:r>
        <w:rPr>
          <w:u w:val="single"/>
        </w:rPr>
        <w:t>Prestations/assistance externe</w:t>
      </w:r>
      <w:r>
        <w:t xml:space="preserve"> (pour la réalisation directe d’une action importante pour le projet) – coûts réels</w:t>
      </w:r>
    </w:p>
    <w:p w14:paraId="287DD4BC" w14:textId="77777777" w:rsidR="00564E60" w:rsidRDefault="00564E60" w:rsidP="00564E60">
      <w:pPr>
        <w:pStyle w:val="Paragraphedeliste"/>
        <w:numPr>
          <w:ilvl w:val="0"/>
          <w:numId w:val="35"/>
        </w:numPr>
        <w:tabs>
          <w:tab w:val="left" w:pos="1307"/>
        </w:tabs>
        <w:jc w:val="both"/>
      </w:pPr>
      <w:r>
        <w:rPr>
          <w:u w:val="single"/>
        </w:rPr>
        <w:t>Achats</w:t>
      </w:r>
      <w:r>
        <w:t xml:space="preserve"> – coûts réels</w:t>
      </w:r>
    </w:p>
    <w:p w14:paraId="7E5703D7" w14:textId="77777777" w:rsidR="00564E60" w:rsidRDefault="00564E60" w:rsidP="00564E60">
      <w:pPr>
        <w:pStyle w:val="Paragraphedeliste"/>
        <w:numPr>
          <w:ilvl w:val="1"/>
          <w:numId w:val="35"/>
        </w:numPr>
        <w:tabs>
          <w:tab w:val="left" w:pos="1307"/>
        </w:tabs>
        <w:jc w:val="both"/>
      </w:pPr>
      <w:r>
        <w:t>Déplacements</w:t>
      </w:r>
    </w:p>
    <w:p w14:paraId="6B3B3D3F" w14:textId="3913072A" w:rsidR="00564E60" w:rsidRDefault="001E4A33" w:rsidP="00564E60">
      <w:pPr>
        <w:pStyle w:val="Paragraphedeliste"/>
        <w:numPr>
          <w:ilvl w:val="1"/>
          <w:numId w:val="35"/>
        </w:numPr>
        <w:tabs>
          <w:tab w:val="left" w:pos="1307"/>
        </w:tabs>
        <w:jc w:val="both"/>
      </w:pPr>
      <w:r>
        <w:t>Équipements</w:t>
      </w:r>
    </w:p>
    <w:p w14:paraId="5AA99AB0" w14:textId="77777777" w:rsidR="00564E60" w:rsidRDefault="00564E60" w:rsidP="00564E60">
      <w:pPr>
        <w:pStyle w:val="Paragraphedeliste"/>
        <w:numPr>
          <w:ilvl w:val="1"/>
          <w:numId w:val="35"/>
        </w:numPr>
        <w:tabs>
          <w:tab w:val="left" w:pos="1307"/>
        </w:tabs>
        <w:jc w:val="both"/>
      </w:pPr>
      <w:r>
        <w:t>Autres biens, travaux et services (pour des travaux ou services annexes)</w:t>
      </w:r>
    </w:p>
    <w:p w14:paraId="37A03512" w14:textId="77777777" w:rsidR="00564E60" w:rsidRDefault="00564E60" w:rsidP="00564E60">
      <w:pPr>
        <w:pStyle w:val="Paragraphedeliste"/>
        <w:numPr>
          <w:ilvl w:val="0"/>
          <w:numId w:val="36"/>
        </w:numPr>
        <w:tabs>
          <w:tab w:val="left" w:pos="1307"/>
        </w:tabs>
        <w:jc w:val="both"/>
        <w:rPr>
          <w:u w:val="single"/>
        </w:rPr>
      </w:pPr>
      <w:r>
        <w:rPr>
          <w:u w:val="single"/>
        </w:rPr>
        <w:t>Autres coûts</w:t>
      </w:r>
    </w:p>
    <w:p w14:paraId="1820B2EE" w14:textId="77777777" w:rsidR="00564E60" w:rsidRDefault="00564E60" w:rsidP="00564E60">
      <w:pPr>
        <w:pStyle w:val="Paragraphedeliste"/>
        <w:numPr>
          <w:ilvl w:val="1"/>
          <w:numId w:val="36"/>
        </w:numPr>
        <w:tabs>
          <w:tab w:val="left" w:pos="1307"/>
        </w:tabs>
        <w:jc w:val="both"/>
      </w:pPr>
      <w:r>
        <w:t>Soutien financier à des tiers au projet (« subvention en cascade ») – coûts réels</w:t>
      </w:r>
    </w:p>
    <w:p w14:paraId="397D2190" w14:textId="77777777" w:rsidR="00564E60" w:rsidRDefault="00564E60" w:rsidP="00564E60">
      <w:pPr>
        <w:pStyle w:val="Paragraphedeliste"/>
        <w:numPr>
          <w:ilvl w:val="1"/>
          <w:numId w:val="36"/>
        </w:numPr>
        <w:tabs>
          <w:tab w:val="left" w:pos="1307"/>
        </w:tabs>
        <w:jc w:val="both"/>
      </w:pPr>
      <w:r>
        <w:t>Facturation interne (attention, des règles spécifiques s’appliquent) – coûts unitaires sur la base des pratiques comptables du bénéficiaire</w:t>
      </w:r>
    </w:p>
    <w:p w14:paraId="107D67A2" w14:textId="77777777" w:rsidR="00564E60" w:rsidRDefault="00564E60" w:rsidP="00564E60">
      <w:pPr>
        <w:pStyle w:val="Paragraphedeliste"/>
        <w:numPr>
          <w:ilvl w:val="0"/>
          <w:numId w:val="36"/>
        </w:numPr>
        <w:tabs>
          <w:tab w:val="left" w:pos="1307"/>
        </w:tabs>
        <w:jc w:val="both"/>
        <w:rPr>
          <w:b/>
          <w:bCs/>
        </w:rPr>
      </w:pPr>
      <w:r>
        <w:rPr>
          <w:u w:val="single"/>
        </w:rPr>
        <w:t>Coûts indirects</w:t>
      </w:r>
      <w:r>
        <w:t xml:space="preserve"> – taux forfaitaire calculé sur la base de 25% du total des coûts de personnel + coûts d’achats</w:t>
      </w:r>
      <w:r>
        <w:rPr>
          <w:rStyle w:val="Appelnotedebasdep"/>
        </w:rPr>
        <w:footnoteReference w:id="1"/>
      </w:r>
    </w:p>
    <w:p w14:paraId="35FD6EEB" w14:textId="77777777" w:rsidR="00564E60" w:rsidRDefault="00564E60" w:rsidP="00564E60">
      <w:pPr>
        <w:tabs>
          <w:tab w:val="left" w:pos="1307"/>
        </w:tabs>
        <w:ind w:left="360"/>
        <w:jc w:val="both"/>
      </w:pPr>
    </w:p>
    <w:p w14:paraId="569508A2" w14:textId="77777777" w:rsidR="00564E60" w:rsidRDefault="00564E60" w:rsidP="00564E60">
      <w:pPr>
        <w:tabs>
          <w:tab w:val="left" w:pos="1307"/>
        </w:tabs>
        <w:ind w:left="360"/>
        <w:jc w:val="both"/>
      </w:pPr>
      <w:r>
        <w:t>Ces règles sont les règles générales qui s’appliquent à Horizon Europe, des règles d’éligibilité différentes peuvent s’appliquer selon les piliers, clusters, ou appels à projet.</w:t>
      </w:r>
    </w:p>
    <w:p w14:paraId="2E7911D5" w14:textId="77777777" w:rsidR="00564E60" w:rsidRDefault="00564E60" w:rsidP="00564E60">
      <w:pPr>
        <w:tabs>
          <w:tab w:val="left" w:pos="1307"/>
        </w:tabs>
        <w:jc w:val="both"/>
      </w:pPr>
    </w:p>
    <w:p w14:paraId="75ADF031" w14:textId="2A069EF1" w:rsidR="00564E60" w:rsidRDefault="001E4A33" w:rsidP="00564E60">
      <w:pPr>
        <w:pStyle w:val="Paragraphedeliste"/>
        <w:numPr>
          <w:ilvl w:val="0"/>
          <w:numId w:val="34"/>
        </w:numPr>
        <w:tabs>
          <w:tab w:val="left" w:pos="1307"/>
        </w:tabs>
        <w:jc w:val="both"/>
      </w:pPr>
      <w:r>
        <w:rPr>
          <w:b/>
          <w:bCs/>
        </w:rPr>
        <w:lastRenderedPageBreak/>
        <w:t>Langues :</w:t>
      </w:r>
      <w:r>
        <w:t xml:space="preserve"> l</w:t>
      </w:r>
      <w:r w:rsidR="00564E60">
        <w:t>e projet peut être rédigé dans toutes les langues officielles de l’Union européenne, mais dans les faits le partenariat international pousse les participants à rédiger en anglais. En cas de rédaction dans une langue autre que l’anglais un résumé en anglais devra être joint.</w:t>
      </w:r>
    </w:p>
    <w:p w14:paraId="2CE48382" w14:textId="77777777" w:rsidR="00564E60" w:rsidRDefault="00564E60" w:rsidP="00564E60">
      <w:pPr>
        <w:tabs>
          <w:tab w:val="left" w:pos="1307"/>
        </w:tabs>
        <w:jc w:val="both"/>
      </w:pPr>
    </w:p>
    <w:p w14:paraId="5595E7DE" w14:textId="36F985AA" w:rsidR="00564E60" w:rsidRDefault="00564E60" w:rsidP="004552EE">
      <w:pPr>
        <w:pStyle w:val="Paragraphedeliste"/>
        <w:numPr>
          <w:ilvl w:val="0"/>
          <w:numId w:val="34"/>
        </w:numPr>
        <w:tabs>
          <w:tab w:val="left" w:pos="1307"/>
        </w:tabs>
        <w:jc w:val="both"/>
      </w:pPr>
      <w:r w:rsidRPr="004552EE">
        <w:rPr>
          <w:b/>
          <w:bCs/>
        </w:rPr>
        <w:t>Partenariat</w:t>
      </w:r>
      <w:r w:rsidR="001E4A33">
        <w:rPr>
          <w:b/>
          <w:bCs/>
        </w:rPr>
        <w:t> :</w:t>
      </w:r>
    </w:p>
    <w:p w14:paraId="72ED2116" w14:textId="37225CB6" w:rsidR="00564E60" w:rsidRDefault="00564E60" w:rsidP="00564E60">
      <w:pPr>
        <w:numPr>
          <w:ilvl w:val="1"/>
          <w:numId w:val="33"/>
        </w:numPr>
        <w:tabs>
          <w:tab w:val="left" w:pos="1307"/>
        </w:tabs>
        <w:jc w:val="both"/>
      </w:pPr>
      <w:r>
        <w:t xml:space="preserve">Les projets Horizon Europe et plus particulièrement les RIA doivent obligatoirement former </w:t>
      </w:r>
      <w:r>
        <w:rPr>
          <w:b/>
          <w:bCs/>
        </w:rPr>
        <w:t xml:space="preserve">un partenariat d’au moins trois membres, représentant au moins trois </w:t>
      </w:r>
      <w:r w:rsidR="001E4A33">
        <w:rPr>
          <w:b/>
          <w:bCs/>
        </w:rPr>
        <w:t xml:space="preserve">Etats </w:t>
      </w:r>
      <w:r>
        <w:rPr>
          <w:b/>
          <w:bCs/>
        </w:rPr>
        <w:t>membres du programmes Horizon Europe</w:t>
      </w:r>
      <w:r>
        <w:t xml:space="preserve"> (donc soit trois Etats membres, soit un Etat membre et deux </w:t>
      </w:r>
      <w:r w:rsidR="00DB6D18">
        <w:t>États</w:t>
      </w:r>
      <w:r>
        <w:t xml:space="preserve"> associés, </w:t>
      </w:r>
      <w:proofErr w:type="spellStart"/>
      <w:r>
        <w:t>etc</w:t>
      </w:r>
      <w:proofErr w:type="spellEnd"/>
      <w:r>
        <w:rPr>
          <w:rStyle w:val="Appelnotedebasdep"/>
        </w:rPr>
        <w:footnoteReference w:id="2"/>
      </w:r>
      <w:r>
        <w:t>.)</w:t>
      </w:r>
      <w:r w:rsidR="00E92F80">
        <w:t xml:space="preserve"> Certains appels peuvent cependant nécessiter un partenariat plus élargi pour intéresser la Commission.</w:t>
      </w:r>
    </w:p>
    <w:p w14:paraId="0E1B4959" w14:textId="3F3975A8" w:rsidR="00564E60" w:rsidRDefault="00564E60" w:rsidP="00564E60">
      <w:pPr>
        <w:numPr>
          <w:ilvl w:val="1"/>
          <w:numId w:val="33"/>
        </w:numPr>
        <w:tabs>
          <w:tab w:val="left" w:pos="1307"/>
        </w:tabs>
        <w:jc w:val="both"/>
      </w:pPr>
      <w:r>
        <w:t xml:space="preserve">Le porteur de projet </w:t>
      </w:r>
      <w:r w:rsidR="001E4A33">
        <w:t>d</w:t>
      </w:r>
      <w:r>
        <w:t xml:space="preserve">oit obligatoirement être basé dans un </w:t>
      </w:r>
      <w:r w:rsidR="001E4A33">
        <w:t>État</w:t>
      </w:r>
      <w:r>
        <w:t xml:space="preserve"> membre de l’Union européenne. Il doit s’agir d’un acteur pertinent par rapport au sujet traité. Cet acteur peut-être un acteur de la recherche (Université, laboratoire etc.), une entreprise, une association, etc.</w:t>
      </w:r>
    </w:p>
    <w:p w14:paraId="47D994A7" w14:textId="1A637AAF" w:rsidR="00564E60" w:rsidRDefault="00564E60" w:rsidP="00564E60">
      <w:pPr>
        <w:numPr>
          <w:ilvl w:val="1"/>
          <w:numId w:val="33"/>
        </w:numPr>
        <w:tabs>
          <w:tab w:val="left" w:pos="1307"/>
        </w:tabs>
        <w:jc w:val="both"/>
      </w:pPr>
      <w:r>
        <w:t xml:space="preserve">Une </w:t>
      </w:r>
      <w:r>
        <w:rPr>
          <w:b/>
          <w:bCs/>
        </w:rPr>
        <w:t>vérification de la capacité financière est effectuée, uniquement pour le porteur de projet</w:t>
      </w:r>
      <w:r>
        <w:t>, dès que la subvention demandée est supérieure à 500 000€, sauf si l’organisation coordinatrice est un organisme public, un établissement d’enseignement supérieur, un individu boursier, une organisation internationale garantie par un État membre ou État associé</w:t>
      </w:r>
      <w:r w:rsidR="001E4A33">
        <w:t>.</w:t>
      </w:r>
    </w:p>
    <w:p w14:paraId="0128A2CA" w14:textId="7ACA77C7" w:rsidR="00564E60" w:rsidRDefault="00564E60" w:rsidP="00564E60">
      <w:pPr>
        <w:numPr>
          <w:ilvl w:val="1"/>
          <w:numId w:val="33"/>
        </w:numPr>
        <w:tabs>
          <w:tab w:val="left" w:pos="1307"/>
        </w:tabs>
        <w:jc w:val="both"/>
      </w:pPr>
      <w:r>
        <w:t>Le programme Horizon Europe est le programme le plus ouvert en terme</w:t>
      </w:r>
      <w:r w:rsidR="001E4A33">
        <w:t>s</w:t>
      </w:r>
      <w:r>
        <w:t xml:space="preserve"> de partenariat. Peuvent participer :</w:t>
      </w:r>
    </w:p>
    <w:p w14:paraId="0EF9C3E0" w14:textId="77777777" w:rsidR="00564E60" w:rsidRDefault="00564E60" w:rsidP="00564E60">
      <w:pPr>
        <w:numPr>
          <w:ilvl w:val="2"/>
          <w:numId w:val="33"/>
        </w:numPr>
        <w:tabs>
          <w:tab w:val="left" w:pos="1307"/>
        </w:tabs>
        <w:jc w:val="both"/>
      </w:pPr>
      <w:r>
        <w:t>Des acteurs issus de l’espace économique européen (liste)</w:t>
      </w:r>
    </w:p>
    <w:p w14:paraId="1EDC2D76" w14:textId="75665E71" w:rsidR="00564E60" w:rsidRDefault="00564E60" w:rsidP="00564E60">
      <w:pPr>
        <w:numPr>
          <w:ilvl w:val="2"/>
          <w:numId w:val="33"/>
        </w:numPr>
        <w:tabs>
          <w:tab w:val="left" w:pos="1307"/>
        </w:tabs>
        <w:jc w:val="both"/>
      </w:pPr>
      <w:r>
        <w:t>Des acteurs issus des P</w:t>
      </w:r>
      <w:r w:rsidR="001E4A33">
        <w:t>ays et Territoires d’Outre-Mer (PTOM)</w:t>
      </w:r>
    </w:p>
    <w:p w14:paraId="7FC8D8F9" w14:textId="7C0FC3C1" w:rsidR="00564E60" w:rsidRDefault="00564E60" w:rsidP="00564E60">
      <w:pPr>
        <w:numPr>
          <w:ilvl w:val="2"/>
          <w:numId w:val="33"/>
        </w:numPr>
        <w:tabs>
          <w:tab w:val="left" w:pos="1307"/>
        </w:tabs>
        <w:jc w:val="both"/>
      </w:pPr>
      <w:r>
        <w:t xml:space="preserve">Des acteurs issus de pays tiers (les « Etats associés »). Ces pays signent un accord avec la Commission pour être considérés comme Etats associés. Ces accords n’ont pas encore été renouvelés pour 2021-2027, en attendant, la Commission considère comme </w:t>
      </w:r>
      <w:r w:rsidR="001E4A33">
        <w:t>États</w:t>
      </w:r>
      <w:r>
        <w:t xml:space="preserve"> associés la liste des </w:t>
      </w:r>
      <w:r w:rsidR="001E4A33">
        <w:t>États</w:t>
      </w:r>
      <w:r>
        <w:t xml:space="preserve"> admis pour 2014-202</w:t>
      </w:r>
      <w:r w:rsidR="001E4A33">
        <w:t>0</w:t>
      </w:r>
      <w:r>
        <w:t xml:space="preserve"> (voir liste </w:t>
      </w:r>
      <w:hyperlink r:id="rId15" w:history="1">
        <w:r>
          <w:rPr>
            <w:rStyle w:val="Lienhypertexte"/>
          </w:rPr>
          <w:t>ici</w:t>
        </w:r>
      </w:hyperlink>
      <w:r>
        <w:t>).</w:t>
      </w:r>
    </w:p>
    <w:p w14:paraId="5738CD7E" w14:textId="5D9BB59A" w:rsidR="00564E60" w:rsidRDefault="00564E60" w:rsidP="00564E60">
      <w:pPr>
        <w:numPr>
          <w:ilvl w:val="2"/>
          <w:numId w:val="33"/>
        </w:numPr>
        <w:tabs>
          <w:tab w:val="left" w:pos="1307"/>
        </w:tabs>
        <w:jc w:val="both"/>
      </w:pPr>
      <w:r>
        <w:t>Des acteurs issus des pays en voie de développement, sauf exclusion spécifique mentionnée dans certains appels (la liste peut être trouvée dans les annexes des programmes de travail pluriannuel, à paraitre pour 2021-2022</w:t>
      </w:r>
      <w:r>
        <w:rPr>
          <w:rStyle w:val="Appelnotedebasdep"/>
        </w:rPr>
        <w:footnoteReference w:id="3"/>
      </w:r>
      <w:r w:rsidR="00113B9B">
        <w:t>)</w:t>
      </w:r>
      <w:r>
        <w:t>.</w:t>
      </w:r>
    </w:p>
    <w:p w14:paraId="11C3C36B" w14:textId="77777777" w:rsidR="00113B9B" w:rsidRDefault="00113B9B" w:rsidP="00564E60">
      <w:pPr>
        <w:tabs>
          <w:tab w:val="left" w:pos="1307"/>
        </w:tabs>
        <w:jc w:val="both"/>
      </w:pPr>
    </w:p>
    <w:p w14:paraId="0964FC74" w14:textId="31BF1183" w:rsidR="00564E60" w:rsidRDefault="00564E60" w:rsidP="004552EE">
      <w:pPr>
        <w:pStyle w:val="Paragraphedeliste"/>
        <w:numPr>
          <w:ilvl w:val="0"/>
          <w:numId w:val="43"/>
        </w:numPr>
        <w:tabs>
          <w:tab w:val="left" w:pos="1307"/>
        </w:tabs>
        <w:ind w:left="426"/>
        <w:jc w:val="both"/>
      </w:pPr>
      <w:r w:rsidRPr="004552EE">
        <w:rPr>
          <w:color w:val="000000"/>
        </w:rPr>
        <w:t>Pour le programme Horizon Europe les appels à projets sont publiés selon une fréquence irrégulière : il faut consulter les programmes de travail avec la présentation des calendrier</w:t>
      </w:r>
      <w:r w:rsidR="00113B9B" w:rsidRPr="004552EE">
        <w:rPr>
          <w:color w:val="000000"/>
        </w:rPr>
        <w:t>s</w:t>
      </w:r>
      <w:r w:rsidRPr="004552EE">
        <w:rPr>
          <w:color w:val="000000"/>
        </w:rPr>
        <w:t xml:space="preserve"> d’appels à projet sur les deux années à venir. </w:t>
      </w:r>
      <w:r w:rsidRPr="004552EE">
        <w:rPr>
          <w:b/>
          <w:bCs/>
          <w:color w:val="000000"/>
        </w:rPr>
        <w:t>Un sujet pourra ne faire l’objet que d’un seul appel sur toute la programmation 2021-2027</w:t>
      </w:r>
      <w:r w:rsidRPr="004552EE">
        <w:rPr>
          <w:color w:val="000000"/>
        </w:rPr>
        <w:t xml:space="preserve"> (les thèmes et priorités ne sont pas récurrents, à la différence d’autres programmes comme LIFE, Interreg, etc.)</w:t>
      </w:r>
      <w:r w:rsidR="00113B9B" w:rsidRPr="004552EE">
        <w:rPr>
          <w:color w:val="000000"/>
        </w:rPr>
        <w:t>.</w:t>
      </w:r>
    </w:p>
    <w:p w14:paraId="023598EE" w14:textId="77777777" w:rsidR="00564E60" w:rsidRDefault="00564E60" w:rsidP="00564E60">
      <w:pPr>
        <w:tabs>
          <w:tab w:val="left" w:pos="1307"/>
        </w:tabs>
        <w:jc w:val="both"/>
      </w:pPr>
    </w:p>
    <w:p w14:paraId="5D388B12" w14:textId="03D5CCB0" w:rsidR="00564E60" w:rsidRDefault="00564E60" w:rsidP="004552EE">
      <w:pPr>
        <w:pStyle w:val="Paragraphedeliste"/>
        <w:numPr>
          <w:ilvl w:val="0"/>
          <w:numId w:val="43"/>
        </w:numPr>
        <w:tabs>
          <w:tab w:val="left" w:pos="1307"/>
        </w:tabs>
        <w:ind w:left="426"/>
        <w:jc w:val="both"/>
      </w:pPr>
      <w:r w:rsidRPr="004552EE">
        <w:rPr>
          <w:b/>
          <w:bCs/>
          <w:color w:val="000000"/>
        </w:rPr>
        <w:t>En termes de sélectivité</w:t>
      </w:r>
      <w:r w:rsidRPr="004552EE">
        <w:rPr>
          <w:color w:val="000000"/>
        </w:rPr>
        <w:t xml:space="preserve">, le programme Horizon 2020 était </w:t>
      </w:r>
      <w:r w:rsidR="00113B9B" w:rsidRPr="004552EE">
        <w:rPr>
          <w:color w:val="000000"/>
        </w:rPr>
        <w:t>très</w:t>
      </w:r>
      <w:r w:rsidRPr="004552EE">
        <w:rPr>
          <w:color w:val="000000"/>
        </w:rPr>
        <w:t xml:space="preserve"> sélectif (une moyenne de 10 % de sélection, mais chaque pilier et chaque cluster dispose en fait de taux de sélectivité différents, avec une compétitivité accrue pour le 3</w:t>
      </w:r>
      <w:r w:rsidRPr="004552EE">
        <w:rPr>
          <w:color w:val="000000"/>
          <w:vertAlign w:val="superscript"/>
        </w:rPr>
        <w:t>e</w:t>
      </w:r>
      <w:r w:rsidRPr="004552EE">
        <w:rPr>
          <w:color w:val="000000"/>
        </w:rPr>
        <w:t xml:space="preserve"> pilier).</w:t>
      </w:r>
    </w:p>
    <w:p w14:paraId="6622932B" w14:textId="77777777" w:rsidR="00564E60" w:rsidRDefault="00564E60" w:rsidP="00564E60">
      <w:pPr>
        <w:tabs>
          <w:tab w:val="left" w:pos="1307"/>
        </w:tabs>
        <w:jc w:val="both"/>
      </w:pPr>
    </w:p>
    <w:p w14:paraId="5774B42F" w14:textId="77777777" w:rsidR="00564E60" w:rsidRPr="004552EE" w:rsidRDefault="00564E60" w:rsidP="004552EE">
      <w:pPr>
        <w:pStyle w:val="Paragraphedeliste"/>
        <w:numPr>
          <w:ilvl w:val="0"/>
          <w:numId w:val="43"/>
        </w:numPr>
        <w:tabs>
          <w:tab w:val="left" w:pos="1307"/>
        </w:tabs>
        <w:ind w:left="426"/>
        <w:jc w:val="both"/>
        <w:rPr>
          <w:b/>
          <w:bCs/>
          <w:color w:val="000000"/>
        </w:rPr>
      </w:pPr>
      <w:r w:rsidRPr="004552EE">
        <w:rPr>
          <w:b/>
          <w:bCs/>
          <w:color w:val="000000"/>
        </w:rPr>
        <w:t xml:space="preserve">L’évaluation des projets </w:t>
      </w:r>
    </w:p>
    <w:p w14:paraId="33314791" w14:textId="77777777" w:rsidR="00564E60" w:rsidRDefault="00564E60" w:rsidP="00564E60">
      <w:pPr>
        <w:tabs>
          <w:tab w:val="left" w:pos="1307"/>
        </w:tabs>
        <w:jc w:val="both"/>
      </w:pPr>
    </w:p>
    <w:p w14:paraId="04934D03" w14:textId="50AE68CE" w:rsidR="00564E60" w:rsidRDefault="00564E60" w:rsidP="00564E60">
      <w:pPr>
        <w:tabs>
          <w:tab w:val="left" w:pos="1307"/>
        </w:tabs>
        <w:jc w:val="both"/>
      </w:pPr>
      <w:r>
        <w:t xml:space="preserve">Les propositions soumises sont évaluées sur la base de </w:t>
      </w:r>
      <w:r>
        <w:rPr>
          <w:b/>
          <w:bCs/>
        </w:rPr>
        <w:t xml:space="preserve">critères de sélection </w:t>
      </w:r>
      <w:r>
        <w:t xml:space="preserve">et de </w:t>
      </w:r>
      <w:r>
        <w:rPr>
          <w:b/>
          <w:bCs/>
        </w:rPr>
        <w:t>critères d</w:t>
      </w:r>
      <w:r w:rsidR="00E92F80">
        <w:rPr>
          <w:b/>
          <w:bCs/>
        </w:rPr>
        <w:t>’évaluation</w:t>
      </w:r>
      <w:r>
        <w:t xml:space="preserve">. </w:t>
      </w:r>
    </w:p>
    <w:p w14:paraId="21FE1C92" w14:textId="77777777" w:rsidR="00564E60" w:rsidRDefault="00564E60" w:rsidP="00564E60">
      <w:pPr>
        <w:tabs>
          <w:tab w:val="left" w:pos="1307"/>
        </w:tabs>
        <w:jc w:val="both"/>
      </w:pPr>
    </w:p>
    <w:p w14:paraId="2C9AD486" w14:textId="77777777" w:rsidR="00564E60" w:rsidRDefault="00564E60" w:rsidP="00564E60">
      <w:pPr>
        <w:tabs>
          <w:tab w:val="left" w:pos="1307"/>
        </w:tabs>
        <w:jc w:val="both"/>
      </w:pPr>
      <w:r>
        <w:t xml:space="preserve">Les deux </w:t>
      </w:r>
      <w:r>
        <w:rPr>
          <w:b/>
          <w:bCs/>
        </w:rPr>
        <w:t xml:space="preserve">critères de sélection </w:t>
      </w:r>
      <w:r>
        <w:t xml:space="preserve">sont la capacité financière du coordinateur et la capacité opérationnelle des participants. </w:t>
      </w:r>
    </w:p>
    <w:p w14:paraId="4AD7D718" w14:textId="77777777" w:rsidR="00564E60" w:rsidRDefault="00564E60" w:rsidP="00564E60">
      <w:pPr>
        <w:tabs>
          <w:tab w:val="left" w:pos="1307"/>
        </w:tabs>
        <w:jc w:val="both"/>
      </w:pPr>
      <w:r>
        <w:t xml:space="preserve">Pour jauger la capacité opérationnelle des participants, les évaluateurs s’appuieront sur les documents suivants : </w:t>
      </w:r>
    </w:p>
    <w:p w14:paraId="55639952" w14:textId="77777777" w:rsidR="00564E60" w:rsidRDefault="00564E60" w:rsidP="00564E60">
      <w:pPr>
        <w:pStyle w:val="Paragraphedeliste"/>
        <w:numPr>
          <w:ilvl w:val="0"/>
          <w:numId w:val="36"/>
        </w:numPr>
        <w:tabs>
          <w:tab w:val="left" w:pos="1307"/>
        </w:tabs>
        <w:jc w:val="both"/>
      </w:pPr>
      <w:r>
        <w:t xml:space="preserve">Un curriculum vitae ou une description du profil des principales personnes responsables de la mise en œuvre des activités de recherche et/ou d’innovation ; </w:t>
      </w:r>
    </w:p>
    <w:p w14:paraId="68FDC451" w14:textId="49618458" w:rsidR="00564E60" w:rsidRDefault="00564E60" w:rsidP="00564E60">
      <w:pPr>
        <w:pStyle w:val="Paragraphedeliste"/>
        <w:numPr>
          <w:ilvl w:val="0"/>
          <w:numId w:val="36"/>
        </w:numPr>
        <w:tabs>
          <w:tab w:val="left" w:pos="1307"/>
        </w:tabs>
        <w:jc w:val="both"/>
      </w:pPr>
      <w:r>
        <w:lastRenderedPageBreak/>
        <w:t>Une liste de publications, produits et/ou services (5 maximum), ou tout autre accomplissement en lien avec le texte de l’appel à projet</w:t>
      </w:r>
      <w:r w:rsidR="00113B9B">
        <w:t>s</w:t>
      </w:r>
      <w:r>
        <w:t xml:space="preserve"> ; </w:t>
      </w:r>
    </w:p>
    <w:p w14:paraId="6A6135FC" w14:textId="77777777" w:rsidR="00564E60" w:rsidRDefault="00564E60" w:rsidP="00564E60">
      <w:pPr>
        <w:pStyle w:val="Paragraphedeliste"/>
        <w:numPr>
          <w:ilvl w:val="0"/>
          <w:numId w:val="36"/>
        </w:numPr>
        <w:tabs>
          <w:tab w:val="left" w:pos="1307"/>
        </w:tabs>
        <w:jc w:val="both"/>
      </w:pPr>
      <w:r>
        <w:t xml:space="preserve">Une liste des projets et/ou activités en lien avec le sujet de la proposition (5 maximum) ; </w:t>
      </w:r>
    </w:p>
    <w:p w14:paraId="2E60E73B" w14:textId="18FE8777" w:rsidR="00564E60" w:rsidRDefault="00564E60" w:rsidP="00564E60">
      <w:pPr>
        <w:pStyle w:val="Paragraphedeliste"/>
        <w:numPr>
          <w:ilvl w:val="0"/>
          <w:numId w:val="36"/>
        </w:numPr>
        <w:tabs>
          <w:tab w:val="left" w:pos="1307"/>
        </w:tabs>
        <w:jc w:val="both"/>
      </w:pPr>
      <w:r>
        <w:t>Une description de toute infrastructure ou équipement technique important en lien avec les activités</w:t>
      </w:r>
      <w:r w:rsidR="00113B9B">
        <w:t> ;</w:t>
      </w:r>
    </w:p>
    <w:p w14:paraId="56937E60" w14:textId="77777777" w:rsidR="00564E60" w:rsidRDefault="00564E60" w:rsidP="00564E60">
      <w:pPr>
        <w:pStyle w:val="Paragraphedeliste"/>
        <w:numPr>
          <w:ilvl w:val="0"/>
          <w:numId w:val="36"/>
        </w:numPr>
        <w:tabs>
          <w:tab w:val="left" w:pos="1307"/>
        </w:tabs>
        <w:jc w:val="both"/>
      </w:pPr>
      <w:r>
        <w:t xml:space="preserve">Une description des parties tierces qui ne seront pas partenaires dans le projet, mais contribueront à la mise en œuvre de l’action (consulter les fiches sur les parties tierces). </w:t>
      </w:r>
    </w:p>
    <w:p w14:paraId="73640EB3" w14:textId="77777777" w:rsidR="00564E60" w:rsidRDefault="00564E60" w:rsidP="00564E60">
      <w:pPr>
        <w:tabs>
          <w:tab w:val="left" w:pos="1307"/>
        </w:tabs>
        <w:jc w:val="both"/>
      </w:pPr>
    </w:p>
    <w:p w14:paraId="6094E375" w14:textId="77777777" w:rsidR="00564E60" w:rsidRDefault="00564E60" w:rsidP="00564E60">
      <w:pPr>
        <w:tabs>
          <w:tab w:val="left" w:pos="1307"/>
        </w:tabs>
        <w:jc w:val="both"/>
      </w:pPr>
      <w:r>
        <w:t xml:space="preserve">Les </w:t>
      </w:r>
      <w:r>
        <w:rPr>
          <w:b/>
          <w:bCs/>
        </w:rPr>
        <w:t xml:space="preserve">critères d’évaluation </w:t>
      </w:r>
      <w:r>
        <w:t>sont : l’excellence ; l’impact ; la qualité et l’efficacité de la mise en œuvre.</w:t>
      </w:r>
    </w:p>
    <w:p w14:paraId="19CD215C" w14:textId="77777777" w:rsidR="00564E60" w:rsidRDefault="00564E60" w:rsidP="00564E60">
      <w:pPr>
        <w:numPr>
          <w:ilvl w:val="1"/>
          <w:numId w:val="33"/>
        </w:numPr>
        <w:tabs>
          <w:tab w:val="left" w:pos="1307"/>
        </w:tabs>
        <w:jc w:val="both"/>
      </w:pPr>
      <w:r>
        <w:t>Impact (50% de la notation)</w:t>
      </w:r>
    </w:p>
    <w:p w14:paraId="6D8595EB" w14:textId="77777777" w:rsidR="00564E60" w:rsidRDefault="00564E60" w:rsidP="00564E60">
      <w:pPr>
        <w:numPr>
          <w:ilvl w:val="2"/>
          <w:numId w:val="33"/>
        </w:numPr>
        <w:tabs>
          <w:tab w:val="left" w:pos="1307"/>
        </w:tabs>
        <w:jc w:val="both"/>
      </w:pPr>
      <w:r>
        <w:t>Améliorer la capacité d'innovation et l'intégration de nouvelles connaissances ;</w:t>
      </w:r>
    </w:p>
    <w:p w14:paraId="38D54DDC" w14:textId="77777777" w:rsidR="00564E60" w:rsidRDefault="00564E60" w:rsidP="00564E60">
      <w:pPr>
        <w:numPr>
          <w:ilvl w:val="2"/>
          <w:numId w:val="33"/>
        </w:numPr>
        <w:tabs>
          <w:tab w:val="left" w:pos="1307"/>
        </w:tabs>
        <w:jc w:val="both"/>
      </w:pPr>
      <w:r>
        <w:t>Renforcer la compétitivité et la croissance des entreprises en développant des innovations répondant aux besoins des marchés européens et mondiaux et, le cas échéant, en proposant ces innovations aux marchés ;</w:t>
      </w:r>
    </w:p>
    <w:p w14:paraId="6A18C391" w14:textId="77777777" w:rsidR="00564E60" w:rsidRDefault="00564E60" w:rsidP="00564E60">
      <w:pPr>
        <w:numPr>
          <w:ilvl w:val="2"/>
          <w:numId w:val="33"/>
        </w:numPr>
        <w:tabs>
          <w:tab w:val="left" w:pos="1307"/>
        </w:tabs>
        <w:jc w:val="both"/>
      </w:pPr>
      <w:r>
        <w:t xml:space="preserve">Tout autre impact environnemental et social important ; </w:t>
      </w:r>
    </w:p>
    <w:p w14:paraId="531378ED" w14:textId="4DF77D87" w:rsidR="00564E60" w:rsidRDefault="00564E60" w:rsidP="00564E60">
      <w:pPr>
        <w:numPr>
          <w:ilvl w:val="2"/>
          <w:numId w:val="33"/>
        </w:numPr>
        <w:tabs>
          <w:tab w:val="left" w:pos="1307"/>
        </w:tabs>
        <w:jc w:val="both"/>
      </w:pPr>
      <w:r>
        <w:t>Efficacité des mesures proposées pour exploiter et diffuser les résultats du projet (y compris la gestion de</w:t>
      </w:r>
      <w:r w:rsidR="00E92F80">
        <w:t xml:space="preserve"> la propriété intellectuelle</w:t>
      </w:r>
      <w:r>
        <w:t>), pour communiquer sur le projet et pour gérer les données de recherche le cas échéant.</w:t>
      </w:r>
    </w:p>
    <w:p w14:paraId="2D13017A" w14:textId="77777777" w:rsidR="00564E60" w:rsidRDefault="00564E60" w:rsidP="00564E60">
      <w:pPr>
        <w:numPr>
          <w:ilvl w:val="1"/>
          <w:numId w:val="33"/>
        </w:numPr>
        <w:tabs>
          <w:tab w:val="left" w:pos="1307"/>
        </w:tabs>
        <w:jc w:val="both"/>
      </w:pPr>
      <w:r>
        <w:t>Excellence (25%)</w:t>
      </w:r>
    </w:p>
    <w:p w14:paraId="4D2C75F1" w14:textId="2A9783F4" w:rsidR="00564E60" w:rsidRDefault="00564E60" w:rsidP="00564E60">
      <w:pPr>
        <w:numPr>
          <w:ilvl w:val="2"/>
          <w:numId w:val="33"/>
        </w:numPr>
        <w:tabs>
          <w:tab w:val="left" w:pos="1307"/>
        </w:tabs>
        <w:jc w:val="both"/>
      </w:pPr>
      <w:r>
        <w:t xml:space="preserve">Solidité du concept, y compris considérations transdisciplinaires. </w:t>
      </w:r>
    </w:p>
    <w:p w14:paraId="3DB58979" w14:textId="3688C423" w:rsidR="00564E60" w:rsidRDefault="00564E60" w:rsidP="00564E60">
      <w:pPr>
        <w:numPr>
          <w:ilvl w:val="2"/>
          <w:numId w:val="33"/>
        </w:numPr>
        <w:tabs>
          <w:tab w:val="left" w:pos="1307"/>
        </w:tabs>
        <w:jc w:val="both"/>
      </w:pPr>
      <w:r>
        <w:t>Le projet proposé est ambitieux, a un fort potentiel d'innovation et va au-delà de l'état de l'art (par exemple, des objectifs révolutionnaires/de rupture, de nouveaux concepts et approches)</w:t>
      </w:r>
      <w:r w:rsidR="00113B9B">
        <w:t>.</w:t>
      </w:r>
    </w:p>
    <w:p w14:paraId="7867C883" w14:textId="77777777" w:rsidR="00564E60" w:rsidRDefault="00564E60" w:rsidP="00564E60">
      <w:pPr>
        <w:numPr>
          <w:ilvl w:val="1"/>
          <w:numId w:val="33"/>
        </w:numPr>
        <w:tabs>
          <w:tab w:val="left" w:pos="1307"/>
        </w:tabs>
        <w:jc w:val="both"/>
      </w:pPr>
      <w:r>
        <w:t>Qualité de mise en œuvre (25%)</w:t>
      </w:r>
    </w:p>
    <w:p w14:paraId="40843676" w14:textId="77777777" w:rsidR="00564E60" w:rsidRDefault="00564E60" w:rsidP="00564E60">
      <w:pPr>
        <w:numPr>
          <w:ilvl w:val="2"/>
          <w:numId w:val="33"/>
        </w:numPr>
        <w:tabs>
          <w:tab w:val="left" w:pos="1307"/>
        </w:tabs>
        <w:jc w:val="both"/>
      </w:pPr>
      <w:r>
        <w:t>Cohérence et efficacité du plan d’action, y compris l'adéquation de la répartition des tâches et des ressources ;</w:t>
      </w:r>
    </w:p>
    <w:p w14:paraId="2B2A23DC" w14:textId="37D946B6" w:rsidR="00564E60" w:rsidRDefault="00564E60" w:rsidP="00564E60">
      <w:pPr>
        <w:numPr>
          <w:ilvl w:val="2"/>
          <w:numId w:val="33"/>
        </w:numPr>
        <w:tabs>
          <w:tab w:val="left" w:pos="1307"/>
        </w:tabs>
        <w:jc w:val="both"/>
      </w:pPr>
      <w:r>
        <w:t>Complémentarité des participants au sein du consortium (le cas échéant)</w:t>
      </w:r>
      <w:r w:rsidR="00113B9B">
        <w:t xml:space="preserve"> </w:t>
      </w:r>
      <w:r>
        <w:t>;</w:t>
      </w:r>
    </w:p>
    <w:p w14:paraId="0AAE8458" w14:textId="77777777" w:rsidR="00564E60" w:rsidRDefault="00564E60" w:rsidP="00564E60">
      <w:pPr>
        <w:numPr>
          <w:ilvl w:val="2"/>
          <w:numId w:val="33"/>
        </w:numPr>
        <w:tabs>
          <w:tab w:val="left" w:pos="1307"/>
        </w:tabs>
        <w:jc w:val="both"/>
      </w:pPr>
      <w:r>
        <w:t>Adéquation des structures et des procédures de gestion, y compris pour la gestion des risques et de l'innovation.</w:t>
      </w:r>
    </w:p>
    <w:p w14:paraId="6417DA24" w14:textId="77777777" w:rsidR="00564E60" w:rsidRDefault="00564E60" w:rsidP="00564E60">
      <w:pPr>
        <w:tabs>
          <w:tab w:val="left" w:pos="1307"/>
        </w:tabs>
        <w:jc w:val="both"/>
      </w:pPr>
    </w:p>
    <w:p w14:paraId="02187D6F" w14:textId="11ADEE4D" w:rsidR="00564E60" w:rsidRDefault="00564E60" w:rsidP="00564E60">
      <w:pPr>
        <w:tabs>
          <w:tab w:val="left" w:pos="1307"/>
        </w:tabs>
        <w:jc w:val="both"/>
      </w:pPr>
      <w:r>
        <w:t>Ces critères sont les critères généraux d’Horizon Europe. Selon les appels à projets d’autres critères et d’autres pondérations peuvent s’appliquer.</w:t>
      </w:r>
    </w:p>
    <w:p w14:paraId="10E57EE9" w14:textId="77777777" w:rsidR="00564E60" w:rsidRDefault="00564E60" w:rsidP="00564E60">
      <w:pPr>
        <w:pBdr>
          <w:top w:val="nil"/>
          <w:left w:val="nil"/>
          <w:bottom w:val="nil"/>
          <w:right w:val="nil"/>
          <w:between w:val="nil"/>
        </w:pBdr>
        <w:tabs>
          <w:tab w:val="left" w:pos="1307"/>
        </w:tabs>
        <w:jc w:val="both"/>
        <w:rPr>
          <w:color w:val="000000"/>
        </w:rPr>
      </w:pPr>
    </w:p>
    <w:p w14:paraId="3F5C968E" w14:textId="589BBE76" w:rsidR="0075699C" w:rsidRDefault="0075699C" w:rsidP="004552EE">
      <w:pPr>
        <w:pStyle w:val="Paragraphedeliste"/>
        <w:numPr>
          <w:ilvl w:val="0"/>
          <w:numId w:val="44"/>
        </w:numPr>
        <w:pBdr>
          <w:top w:val="nil"/>
          <w:left w:val="nil"/>
          <w:bottom w:val="nil"/>
          <w:right w:val="nil"/>
          <w:between w:val="nil"/>
        </w:pBdr>
        <w:tabs>
          <w:tab w:val="left" w:pos="1307"/>
        </w:tabs>
        <w:ind w:left="426"/>
        <w:jc w:val="both"/>
      </w:pPr>
      <w:proofErr w:type="spellStart"/>
      <w:r w:rsidRPr="004552EE">
        <w:rPr>
          <w:b/>
          <w:bCs/>
        </w:rPr>
        <w:t>Reporting</w:t>
      </w:r>
      <w:proofErr w:type="spellEnd"/>
    </w:p>
    <w:p w14:paraId="07955264" w14:textId="06867DEE" w:rsidR="0075699C" w:rsidRDefault="0075699C" w:rsidP="0075699C">
      <w:pPr>
        <w:pBdr>
          <w:top w:val="nil"/>
          <w:left w:val="nil"/>
          <w:bottom w:val="nil"/>
          <w:right w:val="nil"/>
          <w:between w:val="nil"/>
        </w:pBdr>
        <w:tabs>
          <w:tab w:val="left" w:pos="1307"/>
        </w:tabs>
        <w:jc w:val="both"/>
      </w:pPr>
    </w:p>
    <w:p w14:paraId="7099BE64" w14:textId="57501D6A" w:rsidR="0075699C" w:rsidRDefault="0075699C" w:rsidP="0075699C">
      <w:pPr>
        <w:pBdr>
          <w:top w:val="nil"/>
          <w:left w:val="nil"/>
          <w:bottom w:val="nil"/>
          <w:right w:val="nil"/>
          <w:between w:val="nil"/>
        </w:pBdr>
        <w:tabs>
          <w:tab w:val="left" w:pos="1307"/>
        </w:tabs>
        <w:jc w:val="both"/>
      </w:pPr>
      <w:r>
        <w:t xml:space="preserve">Le programme Horizon Europe demande plusieurs types de </w:t>
      </w:r>
      <w:proofErr w:type="spellStart"/>
      <w:r>
        <w:t>reporting</w:t>
      </w:r>
      <w:proofErr w:type="spellEnd"/>
      <w:r>
        <w:t> :</w:t>
      </w:r>
    </w:p>
    <w:p w14:paraId="37855E73" w14:textId="3EEF32C5" w:rsidR="0075699C" w:rsidRDefault="0075699C" w:rsidP="0075699C">
      <w:pPr>
        <w:pStyle w:val="Paragraphedeliste"/>
        <w:numPr>
          <w:ilvl w:val="0"/>
          <w:numId w:val="23"/>
        </w:numPr>
        <w:pBdr>
          <w:top w:val="nil"/>
          <w:left w:val="nil"/>
          <w:bottom w:val="nil"/>
          <w:right w:val="nil"/>
          <w:between w:val="nil"/>
        </w:pBdr>
        <w:tabs>
          <w:tab w:val="left" w:pos="1307"/>
        </w:tabs>
        <w:jc w:val="both"/>
      </w:pPr>
      <w:r w:rsidRPr="0075699C">
        <w:t xml:space="preserve">Un </w:t>
      </w:r>
      <w:proofErr w:type="spellStart"/>
      <w:r w:rsidRPr="0075699C">
        <w:t>reporting</w:t>
      </w:r>
      <w:proofErr w:type="spellEnd"/>
      <w:r w:rsidRPr="0075699C">
        <w:t xml:space="preserve"> continu, en ligne (</w:t>
      </w:r>
      <w:r>
        <w:t>livrables, jalons, productions, etc.)</w:t>
      </w:r>
    </w:p>
    <w:p w14:paraId="797B90AC" w14:textId="005B3521" w:rsidR="0075699C" w:rsidRDefault="0075699C" w:rsidP="0075699C">
      <w:pPr>
        <w:pStyle w:val="Paragraphedeliste"/>
        <w:numPr>
          <w:ilvl w:val="0"/>
          <w:numId w:val="23"/>
        </w:numPr>
        <w:pBdr>
          <w:top w:val="nil"/>
          <w:left w:val="nil"/>
          <w:bottom w:val="nil"/>
          <w:right w:val="nil"/>
          <w:between w:val="nil"/>
        </w:pBdr>
        <w:tabs>
          <w:tab w:val="left" w:pos="1307"/>
        </w:tabs>
        <w:jc w:val="both"/>
      </w:pPr>
      <w:r>
        <w:t xml:space="preserve">Des rapports techniques et financiers pour chaque « période de </w:t>
      </w:r>
      <w:proofErr w:type="spellStart"/>
      <w:r>
        <w:t>reporting</w:t>
      </w:r>
      <w:proofErr w:type="spellEnd"/>
      <w:r>
        <w:t> »</w:t>
      </w:r>
      <w:r w:rsidR="002658F9">
        <w:t xml:space="preserve"> (définies dans la Convention de subvention)</w:t>
      </w:r>
    </w:p>
    <w:p w14:paraId="60E99597" w14:textId="12AF149E" w:rsidR="0075699C" w:rsidRDefault="0075699C" w:rsidP="0075699C">
      <w:pPr>
        <w:pStyle w:val="Paragraphedeliste"/>
        <w:numPr>
          <w:ilvl w:val="0"/>
          <w:numId w:val="23"/>
        </w:numPr>
        <w:pBdr>
          <w:top w:val="nil"/>
          <w:left w:val="nil"/>
          <w:bottom w:val="nil"/>
          <w:right w:val="nil"/>
          <w:between w:val="nil"/>
        </w:pBdr>
        <w:tabs>
          <w:tab w:val="left" w:pos="1307"/>
        </w:tabs>
        <w:jc w:val="both"/>
      </w:pPr>
      <w:r>
        <w:t>Un rapport technique et financier final, à la fin du projet</w:t>
      </w:r>
    </w:p>
    <w:p w14:paraId="61B6B5BB" w14:textId="723C04DF" w:rsidR="0075699C" w:rsidRDefault="0075699C" w:rsidP="0075699C">
      <w:pPr>
        <w:pBdr>
          <w:top w:val="nil"/>
          <w:left w:val="nil"/>
          <w:bottom w:val="nil"/>
          <w:right w:val="nil"/>
          <w:between w:val="nil"/>
        </w:pBdr>
        <w:tabs>
          <w:tab w:val="left" w:pos="1307"/>
        </w:tabs>
        <w:jc w:val="both"/>
      </w:pPr>
    </w:p>
    <w:p w14:paraId="0393CF7C" w14:textId="69E6A170" w:rsidR="0075699C" w:rsidRPr="0075699C" w:rsidRDefault="0075699C" w:rsidP="0075699C">
      <w:pPr>
        <w:pBdr>
          <w:top w:val="nil"/>
          <w:left w:val="nil"/>
          <w:bottom w:val="nil"/>
          <w:right w:val="nil"/>
          <w:between w:val="nil"/>
        </w:pBdr>
        <w:tabs>
          <w:tab w:val="left" w:pos="1307"/>
        </w:tabs>
        <w:jc w:val="both"/>
      </w:pPr>
      <w:r>
        <w:t>Les paiements inter</w:t>
      </w:r>
      <w:r w:rsidR="00115F38">
        <w:t>m</w:t>
      </w:r>
      <w:r>
        <w:t>édiaires sont liés à ces rapports</w:t>
      </w:r>
      <w:r w:rsidR="002658F9">
        <w:t xml:space="preserve">. Un premier préfinancement est possible au démarrage du projet, suivi </w:t>
      </w:r>
      <w:proofErr w:type="gramStart"/>
      <w:r w:rsidR="002658F9">
        <w:t>de un</w:t>
      </w:r>
      <w:proofErr w:type="gramEnd"/>
      <w:r w:rsidR="00113B9B">
        <w:t xml:space="preserve"> ou</w:t>
      </w:r>
      <w:r w:rsidR="002658F9">
        <w:t xml:space="preserve"> deux paiements intermédiaires, sur base des rapports financiers envoyés. L</w:t>
      </w:r>
      <w:r>
        <w:t xml:space="preserve">orsque la Commission européenne approuve les coûts éligibles déclarés sur la période en question, le paiement intermédiaire est versé au coordinateur dans les 90 jours à compter de la date de réception du rapport. Le montant dépend de ce qui est fixé par le </w:t>
      </w:r>
      <w:r w:rsidRPr="004552EE">
        <w:rPr>
          <w:i/>
          <w:iCs/>
        </w:rPr>
        <w:t>Grant Agreement</w:t>
      </w:r>
      <w:r>
        <w:t xml:space="preserve"> (ou « Convention de subvention »), avec une limite : </w:t>
      </w:r>
      <w:r w:rsidRPr="002658F9">
        <w:rPr>
          <w:b/>
          <w:bCs/>
        </w:rPr>
        <w:t>le montant total du préfinancement et des paiements intermédiaires ne doit pas dépasser 90% du montant maximum de la subvention</w:t>
      </w:r>
      <w:r>
        <w:t xml:space="preserve"> tel qu’indiqué à l’article 5.1 de la convention de subvention.</w:t>
      </w:r>
    </w:p>
    <w:p w14:paraId="4825C7C7" w14:textId="77777777" w:rsidR="0075699C" w:rsidRPr="0075699C" w:rsidRDefault="0075699C" w:rsidP="0075699C">
      <w:pPr>
        <w:pBdr>
          <w:top w:val="nil"/>
          <w:left w:val="nil"/>
          <w:bottom w:val="nil"/>
          <w:right w:val="nil"/>
          <w:between w:val="nil"/>
        </w:pBdr>
        <w:tabs>
          <w:tab w:val="left" w:pos="1307"/>
        </w:tabs>
        <w:jc w:val="both"/>
      </w:pPr>
    </w:p>
    <w:p w14:paraId="7CCEACD0" w14:textId="414CC5A6" w:rsidR="008D3448" w:rsidRPr="008D3448" w:rsidRDefault="00BB387A" w:rsidP="004552EE">
      <w:pPr>
        <w:pStyle w:val="Paragraphedeliste"/>
        <w:numPr>
          <w:ilvl w:val="0"/>
          <w:numId w:val="44"/>
        </w:numPr>
        <w:pBdr>
          <w:top w:val="nil"/>
          <w:left w:val="nil"/>
          <w:bottom w:val="nil"/>
          <w:right w:val="nil"/>
          <w:between w:val="nil"/>
        </w:pBdr>
        <w:tabs>
          <w:tab w:val="left" w:pos="1307"/>
        </w:tabs>
        <w:ind w:left="426"/>
        <w:jc w:val="both"/>
      </w:pPr>
      <w:r w:rsidRPr="00877C03">
        <w:rPr>
          <w:b/>
          <w:bCs/>
          <w:color w:val="000000"/>
        </w:rPr>
        <w:lastRenderedPageBreak/>
        <w:t>Un exemple de Grant Agreement/Convention de subvention</w:t>
      </w:r>
      <w:r w:rsidRPr="00DD2E80">
        <w:rPr>
          <w:color w:val="000000"/>
        </w:rPr>
        <w:t xml:space="preserve"> peut être trouvé </w:t>
      </w:r>
      <w:hyperlink r:id="rId16" w:history="1">
        <w:r w:rsidRPr="00CB413C">
          <w:rPr>
            <w:rStyle w:val="Lienhypertexte"/>
          </w:rPr>
          <w:t>ici</w:t>
        </w:r>
      </w:hyperlink>
      <w:r>
        <w:rPr>
          <w:rStyle w:val="Appelnotedebasdep"/>
          <w:color w:val="0000FF" w:themeColor="hyperlink"/>
          <w:sz w:val="16"/>
          <w:szCs w:val="16"/>
          <w:u w:val="single"/>
        </w:rPr>
        <w:footnoteReference w:id="4"/>
      </w:r>
      <w:r w:rsidRPr="00DD2E80">
        <w:rPr>
          <w:color w:val="000000"/>
        </w:rPr>
        <w:t>.</w:t>
      </w:r>
      <w:r w:rsidR="00CB413C" w:rsidRPr="00113B9B">
        <w:rPr>
          <w:color w:val="000000"/>
        </w:rPr>
        <w:t xml:space="preserve"> Le plateforme </w:t>
      </w:r>
      <w:proofErr w:type="spellStart"/>
      <w:r w:rsidR="00CB413C" w:rsidRPr="00113B9B">
        <w:rPr>
          <w:color w:val="000000"/>
        </w:rPr>
        <w:t>Funding&amp;Tenders</w:t>
      </w:r>
      <w:proofErr w:type="spellEnd"/>
      <w:r w:rsidR="00CB413C" w:rsidRPr="00113B9B">
        <w:rPr>
          <w:color w:val="000000"/>
        </w:rPr>
        <w:t xml:space="preserve"> regroupe tous les documents administratifs utiles pour ce programme, notamment via la page « </w:t>
      </w:r>
      <w:hyperlink r:id="rId17" w:history="1">
        <w:r w:rsidR="00CB413C" w:rsidRPr="00CB413C">
          <w:rPr>
            <w:rStyle w:val="Lienhypertexte"/>
          </w:rPr>
          <w:t>Reference documents </w:t>
        </w:r>
      </w:hyperlink>
      <w:r w:rsidR="00CB413C" w:rsidRPr="00113B9B">
        <w:rPr>
          <w:color w:val="000000"/>
        </w:rPr>
        <w:t>».</w:t>
      </w:r>
    </w:p>
    <w:p w14:paraId="4031D434" w14:textId="77777777" w:rsidR="00113B9B" w:rsidRDefault="00113B9B" w:rsidP="008D3448">
      <w:pPr>
        <w:pBdr>
          <w:top w:val="nil"/>
          <w:left w:val="nil"/>
          <w:bottom w:val="nil"/>
          <w:right w:val="nil"/>
          <w:between w:val="nil"/>
        </w:pBdr>
        <w:tabs>
          <w:tab w:val="left" w:pos="1307"/>
        </w:tabs>
        <w:jc w:val="both"/>
      </w:pPr>
    </w:p>
    <w:p w14:paraId="2A3B6E92" w14:textId="6F063A8D" w:rsidR="008D3448" w:rsidRDefault="008D3448">
      <w:pPr>
        <w:pStyle w:val="Paragraphedeliste"/>
        <w:numPr>
          <w:ilvl w:val="0"/>
          <w:numId w:val="44"/>
        </w:numPr>
        <w:pBdr>
          <w:top w:val="nil"/>
          <w:left w:val="nil"/>
          <w:bottom w:val="nil"/>
          <w:right w:val="nil"/>
          <w:between w:val="nil"/>
        </w:pBdr>
        <w:tabs>
          <w:tab w:val="left" w:pos="1307"/>
        </w:tabs>
        <w:ind w:left="426"/>
        <w:jc w:val="both"/>
      </w:pPr>
      <w:r w:rsidRPr="004552EE">
        <w:rPr>
          <w:b/>
          <w:bCs/>
        </w:rPr>
        <w:t>Trois types d’audit</w:t>
      </w:r>
      <w:r>
        <w:t xml:space="preserve"> sont possibles dans le programme Horizon Europe, pour plus d’information sur chaque type d’audit voir </w:t>
      </w:r>
      <w:hyperlink r:id="rId18" w:history="1">
        <w:r w:rsidRPr="008D3448">
          <w:rPr>
            <w:rStyle w:val="Lienhypertexte"/>
          </w:rPr>
          <w:t>cette fiche</w:t>
        </w:r>
      </w:hyperlink>
      <w:r>
        <w:t>.</w:t>
      </w:r>
    </w:p>
    <w:p w14:paraId="5D011DEB" w14:textId="6B2DFBE3" w:rsidR="00E92F80" w:rsidRDefault="00E92F80" w:rsidP="00E92F80">
      <w:pPr>
        <w:pBdr>
          <w:top w:val="nil"/>
          <w:left w:val="nil"/>
          <w:bottom w:val="nil"/>
          <w:right w:val="nil"/>
          <w:between w:val="nil"/>
        </w:pBdr>
        <w:tabs>
          <w:tab w:val="left" w:pos="1307"/>
        </w:tabs>
        <w:jc w:val="both"/>
      </w:pPr>
    </w:p>
    <w:p w14:paraId="5E2520EF" w14:textId="3F5FAD4D" w:rsidR="00E92F80" w:rsidRDefault="00924047" w:rsidP="004552EE">
      <w:pPr>
        <w:pStyle w:val="Paragraphedeliste"/>
        <w:numPr>
          <w:ilvl w:val="0"/>
          <w:numId w:val="44"/>
        </w:numPr>
        <w:pBdr>
          <w:top w:val="nil"/>
          <w:left w:val="nil"/>
          <w:bottom w:val="nil"/>
          <w:right w:val="nil"/>
          <w:between w:val="nil"/>
        </w:pBdr>
        <w:tabs>
          <w:tab w:val="left" w:pos="1307"/>
        </w:tabs>
        <w:jc w:val="both"/>
      </w:pPr>
      <w:r>
        <w:t>Les montants versés par le programme Horizon Europe n</w:t>
      </w:r>
      <w:r w:rsidR="00F61581">
        <w:t>’entre pas dans le calcul des aides d’Etat.</w:t>
      </w:r>
    </w:p>
    <w:p w14:paraId="5ED80B49" w14:textId="77777777" w:rsidR="00E92F80" w:rsidRDefault="00E92F80" w:rsidP="004552EE">
      <w:pPr>
        <w:pBdr>
          <w:top w:val="nil"/>
          <w:left w:val="nil"/>
          <w:bottom w:val="nil"/>
          <w:right w:val="nil"/>
          <w:between w:val="nil"/>
        </w:pBdr>
        <w:tabs>
          <w:tab w:val="left" w:pos="1307"/>
        </w:tabs>
        <w:jc w:val="both"/>
      </w:pPr>
    </w:p>
    <w:p w14:paraId="70BD40AE" w14:textId="77777777" w:rsidR="00BB387A" w:rsidRDefault="00F30E04" w:rsidP="00BB387A">
      <w:pPr>
        <w:tabs>
          <w:tab w:val="left" w:pos="1307"/>
        </w:tabs>
        <w:jc w:val="both"/>
      </w:pPr>
      <w:r>
        <w:t xml:space="preserve">Les questions administratives et financières sont traitées par le PCN (Point de Contact National) dédié à ces questions. </w:t>
      </w:r>
      <w:r w:rsidR="00BB387A">
        <w:t xml:space="preserve">Des fiches explicatives sont disponibles sur un grand nombre de points sur </w:t>
      </w:r>
      <w:hyperlink r:id="rId19" w:anchor="regle-financiere" w:history="1">
        <w:r w:rsidR="00BB387A" w:rsidRPr="00F30E04">
          <w:rPr>
            <w:rStyle w:val="Lienhypertexte"/>
          </w:rPr>
          <w:t>cette page</w:t>
        </w:r>
      </w:hyperlink>
      <w:r w:rsidR="00BB387A">
        <w:rPr>
          <w:rStyle w:val="Appelnotedebasdep"/>
        </w:rPr>
        <w:footnoteReference w:id="5"/>
      </w:r>
      <w:r w:rsidR="00BB387A">
        <w:t>.</w:t>
      </w:r>
    </w:p>
    <w:p w14:paraId="00000035" w14:textId="77777777" w:rsidR="00CC781C" w:rsidRDefault="008F7158">
      <w:pPr>
        <w:pStyle w:val="Titre1"/>
        <w:ind w:firstLine="360"/>
      </w:pPr>
      <w:r>
        <w:t>Exemples de projet</w:t>
      </w:r>
    </w:p>
    <w:p w14:paraId="00000036" w14:textId="2D87B6F2" w:rsidR="00CC781C" w:rsidRDefault="00CC781C">
      <w:pPr>
        <w:tabs>
          <w:tab w:val="left" w:pos="1307"/>
        </w:tabs>
        <w:jc w:val="both"/>
      </w:pPr>
    </w:p>
    <w:p w14:paraId="4A823BE7" w14:textId="5ABD9A2A" w:rsidR="00F57235" w:rsidRDefault="00F57235">
      <w:pPr>
        <w:tabs>
          <w:tab w:val="left" w:pos="1307"/>
        </w:tabs>
        <w:jc w:val="both"/>
      </w:pPr>
      <w:r>
        <w:t>Attention : ces exemples sont tirés du programme H2020. Le programme Horizon Europe ayant une structure différente, les appels présentés ici peuvent ne pas se retrouver dans le nouveau programme. Il s’agit ici avant tout de donner quelques exemples de ce à quoi un projet « Horizon Europe » ressemble</w:t>
      </w:r>
      <w:r w:rsidR="00A832A0">
        <w:t>, et donner quelques pistes de réflexion.</w:t>
      </w:r>
    </w:p>
    <w:p w14:paraId="0D89E6E6" w14:textId="77777777" w:rsidR="00EF2F61" w:rsidRDefault="00EF2F61" w:rsidP="007B3740">
      <w:pPr>
        <w:tabs>
          <w:tab w:val="left" w:pos="1307"/>
        </w:tabs>
        <w:jc w:val="both"/>
      </w:pPr>
    </w:p>
    <w:p w14:paraId="028638D7" w14:textId="479FE8C2" w:rsidR="007B3740"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 n°</w:t>
      </w:r>
      <w:r w:rsidR="00EF2F61">
        <w:rPr>
          <w:b/>
          <w:bCs/>
        </w:rPr>
        <w:t>1</w:t>
      </w:r>
      <w:r>
        <w:rPr>
          <w:b/>
          <w:bCs/>
        </w:rPr>
        <w:t> :</w:t>
      </w:r>
    </w:p>
    <w:p w14:paraId="723F54D0" w14:textId="1A0E5DFD" w:rsidR="007B3740" w:rsidRPr="00270770"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sidRPr="00270770">
        <w:rPr>
          <w:u w:val="single"/>
        </w:rPr>
        <w:t>Porteur de projet :</w:t>
      </w:r>
      <w:r w:rsidRPr="00270770">
        <w:t xml:space="preserve"> </w:t>
      </w:r>
      <w:proofErr w:type="spellStart"/>
      <w:r w:rsidR="002E389B" w:rsidRPr="00270770">
        <w:t>Acciona</w:t>
      </w:r>
      <w:proofErr w:type="spellEnd"/>
      <w:r w:rsidR="002E389B" w:rsidRPr="00270770">
        <w:t xml:space="preserve"> </w:t>
      </w:r>
      <w:proofErr w:type="spellStart"/>
      <w:r w:rsidR="002E389B" w:rsidRPr="00270770">
        <w:t>Construcction</w:t>
      </w:r>
      <w:proofErr w:type="spellEnd"/>
      <w:r w:rsidR="002E389B" w:rsidRPr="00270770">
        <w:t xml:space="preserve"> SA (ES) </w:t>
      </w:r>
    </w:p>
    <w:p w14:paraId="02A59F10" w14:textId="7DA6A5A5" w:rsidR="007B3740" w:rsidRPr="002E389B"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proofErr w:type="spellStart"/>
      <w:proofErr w:type="gramStart"/>
      <w:r w:rsidRPr="002E389B">
        <w:rPr>
          <w:u w:val="single"/>
          <w:lang w:val="en-US"/>
        </w:rPr>
        <w:t>Titre</w:t>
      </w:r>
      <w:proofErr w:type="spellEnd"/>
      <w:r w:rsidRPr="002E389B">
        <w:rPr>
          <w:u w:val="single"/>
          <w:lang w:val="en-US"/>
        </w:rPr>
        <w:t> :</w:t>
      </w:r>
      <w:proofErr w:type="gramEnd"/>
      <w:r w:rsidRPr="002E389B">
        <w:rPr>
          <w:lang w:val="en-US"/>
        </w:rPr>
        <w:t xml:space="preserve"> </w:t>
      </w:r>
      <w:r w:rsidR="002E389B" w:rsidRPr="002E389B">
        <w:rPr>
          <w:lang w:val="en-US"/>
        </w:rPr>
        <w:t xml:space="preserve">LOWUP - LOW valued energy sources </w:t>
      </w:r>
      <w:proofErr w:type="spellStart"/>
      <w:r w:rsidR="002E389B" w:rsidRPr="002E389B">
        <w:rPr>
          <w:lang w:val="en-US"/>
        </w:rPr>
        <w:t>UPgrading</w:t>
      </w:r>
      <w:proofErr w:type="spellEnd"/>
      <w:r w:rsidR="002E389B" w:rsidRPr="002E389B">
        <w:rPr>
          <w:lang w:val="en-US"/>
        </w:rPr>
        <w:t xml:space="preserve"> for buildings and industry uses</w:t>
      </w:r>
    </w:p>
    <w:p w14:paraId="26D3D7CB" w14:textId="76D65CE1" w:rsidR="007B3740"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Contact </w:t>
      </w:r>
      <w:r>
        <w:t xml:space="preserve">: </w:t>
      </w:r>
      <w:r w:rsidR="009B0310" w:rsidRPr="009B0310">
        <w:t>Rafael Claret Socorro Hernandez</w:t>
      </w:r>
      <w:r w:rsidR="009B0310">
        <w:t xml:space="preserve">, coordinateur : </w:t>
      </w:r>
      <w:hyperlink r:id="rId20" w:history="1">
        <w:r w:rsidR="009B0310" w:rsidRPr="003F0A0A">
          <w:rPr>
            <w:rStyle w:val="Lienhypertexte"/>
          </w:rPr>
          <w:t>contact@lowup-h2020.eu</w:t>
        </w:r>
      </w:hyperlink>
      <w:r w:rsidR="009B0310">
        <w:t xml:space="preserve"> </w:t>
      </w:r>
    </w:p>
    <w:p w14:paraId="280A5C51" w14:textId="67222E7B" w:rsidR="007B3740"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Partenariat :</w:t>
      </w:r>
      <w:r>
        <w:t xml:space="preserve"> </w:t>
      </w:r>
      <w:r w:rsidR="003D7BF1" w:rsidRPr="003D7BF1">
        <w:t>12 participants, dont un français (LGI consulting)</w:t>
      </w:r>
      <w:r w:rsidR="002D5054">
        <w:t>, issus de 7 pays.</w:t>
      </w:r>
    </w:p>
    <w:p w14:paraId="30846A8A" w14:textId="6B20D1B1" w:rsidR="007B3740" w:rsidRPr="00DC1DF8"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proofErr w:type="gramStart"/>
      <w:r w:rsidRPr="00DC1DF8">
        <w:rPr>
          <w:u w:val="single"/>
          <w:lang w:val="en-US"/>
        </w:rPr>
        <w:t>Appel :</w:t>
      </w:r>
      <w:proofErr w:type="gramEnd"/>
      <w:r w:rsidRPr="00DC1DF8">
        <w:rPr>
          <w:u w:val="single"/>
          <w:lang w:val="en-US"/>
        </w:rPr>
        <w:t xml:space="preserve"> </w:t>
      </w:r>
      <w:r w:rsidR="00DC1DF8" w:rsidRPr="00DC1DF8">
        <w:rPr>
          <w:lang w:val="en-US"/>
        </w:rPr>
        <w:t xml:space="preserve">H2020-EU.3.3.1. - Reducing energy consumption and carbon </w:t>
      </w:r>
      <w:proofErr w:type="spellStart"/>
      <w:r w:rsidR="00DC1DF8" w:rsidRPr="00DC1DF8">
        <w:rPr>
          <w:lang w:val="en-US"/>
        </w:rPr>
        <w:t>foorpint</w:t>
      </w:r>
      <w:proofErr w:type="spellEnd"/>
      <w:r w:rsidR="00DC1DF8" w:rsidRPr="00DC1DF8">
        <w:rPr>
          <w:lang w:val="en-US"/>
        </w:rPr>
        <w:t xml:space="preserve"> by smart and sustainable use</w:t>
      </w:r>
    </w:p>
    <w:p w14:paraId="62F8052D" w14:textId="0A5822EF" w:rsidR="007B3740"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Dates :</w:t>
      </w:r>
      <w:r>
        <w:t xml:space="preserve"> </w:t>
      </w:r>
      <w:r w:rsidR="002E389B">
        <w:t>novembre 2016 à octobre 2020</w:t>
      </w:r>
    </w:p>
    <w:p w14:paraId="4121F7E2" w14:textId="7065854A" w:rsidR="002E389B" w:rsidRDefault="007B3740" w:rsidP="002E389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Pr>
          <w:u w:val="single"/>
        </w:rPr>
        <w:t>Budget :</w:t>
      </w:r>
      <w:r>
        <w:t xml:space="preserve"> </w:t>
      </w:r>
      <w:r w:rsidR="002E389B">
        <w:t>3.7 millions d’euros (subvention : 100%)</w:t>
      </w:r>
    </w:p>
    <w:p w14:paraId="782FD4A6" w14:textId="17D32A7D" w:rsidR="00F61581" w:rsidRDefault="002E389B" w:rsidP="002E389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xml:space="preserve">Dans le cadre du projet </w:t>
      </w:r>
      <w:proofErr w:type="spellStart"/>
      <w:r>
        <w:t>LowUP</w:t>
      </w:r>
      <w:proofErr w:type="spellEnd"/>
      <w:r>
        <w:t>, trois systèmes de chauffage et de refroidissement différents seront développés et démontrés dans un environnement pertinent : HEAT-</w:t>
      </w:r>
      <w:proofErr w:type="spellStart"/>
      <w:r>
        <w:t>LowUP</w:t>
      </w:r>
      <w:proofErr w:type="spellEnd"/>
      <w:r>
        <w:t xml:space="preserve"> (système de chauffage à faible </w:t>
      </w:r>
      <w:r w:rsidR="00885670">
        <w:t>énergie</w:t>
      </w:r>
      <w:r>
        <w:t xml:space="preserve"> alimenté directement par l'énergie solaire et la chaleur récupérée des eaux usées) COOL-</w:t>
      </w:r>
      <w:proofErr w:type="spellStart"/>
      <w:r>
        <w:t>LowUP</w:t>
      </w:r>
      <w:proofErr w:type="spellEnd"/>
      <w:r>
        <w:t xml:space="preserve"> (systèmes de refroidissement à faible </w:t>
      </w:r>
      <w:r w:rsidR="00885670">
        <w:t>énergie</w:t>
      </w:r>
      <w:r>
        <w:t xml:space="preserve"> alimentés directement par des sources d'énergie gratuites) et HP-</w:t>
      </w:r>
      <w:proofErr w:type="spellStart"/>
      <w:r>
        <w:t>LowUP</w:t>
      </w:r>
      <w:proofErr w:type="spellEnd"/>
      <w:r>
        <w:t xml:space="preserve"> (récupération et valorisation de la chaleur résiduelle via une pompe à chaleur.) </w:t>
      </w:r>
    </w:p>
    <w:p w14:paraId="20D99DE1" w14:textId="12F7CC67" w:rsidR="002E389B" w:rsidRDefault="002E389B" w:rsidP="002E389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xml:space="preserve">Les deux premiers systèmes sont axés sur l'utilisation rationnelle et efficace de sources d'énergie de faible valeur pour une mise en œuvre directe dans des systèmes de chauffage et de refroidissement à faible </w:t>
      </w:r>
      <w:r w:rsidR="00885670">
        <w:t>énergie</w:t>
      </w:r>
      <w:r>
        <w:t xml:space="preserve"> pour les bâtiments et le troisième est axé sur l'exploitation de l'énergie résiduelle à basse température, gaspillée avec les procédés industriels, en les valorisant pour générer de la chaleur utile à réintroduire dans le procédé.</w:t>
      </w:r>
    </w:p>
    <w:p w14:paraId="67A1B884" w14:textId="578A9734" w:rsidR="002E389B" w:rsidRDefault="002E389B" w:rsidP="002E389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xml:space="preserve">Le projet sera mis en œuvre en utilisant le laboratoire thermique </w:t>
      </w:r>
      <w:proofErr w:type="spellStart"/>
      <w:r>
        <w:t>Acciona</w:t>
      </w:r>
      <w:proofErr w:type="spellEnd"/>
      <w:r>
        <w:t xml:space="preserve"> situé à Séville où seront émulés différents cas réels comme le processus industriel d'une usine de traitement des eaux, d'une usine automobile et d'une maison de retraite.</w:t>
      </w:r>
    </w:p>
    <w:p w14:paraId="5E706C67" w14:textId="77777777" w:rsidR="002E389B" w:rsidRDefault="002E389B"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1DF6E87D" w14:textId="2B89B371" w:rsidR="007B3740" w:rsidRPr="003A0FBD" w:rsidRDefault="003D7BF1"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rStyle w:val="Lienhypertexte"/>
          <w:lang w:val="en-US"/>
        </w:rPr>
      </w:pPr>
      <w:r>
        <w:fldChar w:fldCharType="begin"/>
      </w:r>
      <w:r w:rsidRPr="003A0FBD">
        <w:rPr>
          <w:lang w:val="en-US"/>
        </w:rPr>
        <w:instrText xml:space="preserve"> HYPERLINK "https://lowup-h2020.eu/" </w:instrText>
      </w:r>
      <w:r>
        <w:fldChar w:fldCharType="separate"/>
      </w:r>
      <w:r w:rsidR="007B3740" w:rsidRPr="003A0FBD">
        <w:rPr>
          <w:rStyle w:val="Lienhypertexte"/>
          <w:lang w:val="en-US"/>
        </w:rPr>
        <w:t>Site web 1</w:t>
      </w:r>
    </w:p>
    <w:p w14:paraId="085DE2CE" w14:textId="736AE8A1" w:rsidR="003D7BF1" w:rsidRPr="003A0FBD" w:rsidRDefault="003D7BF1"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r>
        <w:fldChar w:fldCharType="end"/>
      </w:r>
      <w:hyperlink r:id="rId21" w:history="1">
        <w:r w:rsidRPr="003A0FBD">
          <w:rPr>
            <w:rStyle w:val="Lienhypertexte"/>
            <w:lang w:val="en-US"/>
          </w:rPr>
          <w:t>Site web 2</w:t>
        </w:r>
      </w:hyperlink>
    </w:p>
    <w:p w14:paraId="744FEA7A" w14:textId="5B74B67B" w:rsidR="00266EA7" w:rsidRPr="003A0FBD" w:rsidRDefault="00266EA7" w:rsidP="00266EA7">
      <w:pPr>
        <w:pBdr>
          <w:top w:val="nil"/>
          <w:left w:val="nil"/>
          <w:bottom w:val="nil"/>
          <w:right w:val="nil"/>
          <w:between w:val="nil"/>
        </w:pBdr>
        <w:tabs>
          <w:tab w:val="left" w:pos="1307"/>
        </w:tabs>
        <w:jc w:val="both"/>
        <w:rPr>
          <w:lang w:val="en-US"/>
        </w:rPr>
      </w:pPr>
    </w:p>
    <w:p w14:paraId="335347AE" w14:textId="04056859" w:rsidR="007B3740" w:rsidRPr="003A0FBD"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lang w:val="en-US"/>
        </w:rPr>
      </w:pPr>
      <w:proofErr w:type="spellStart"/>
      <w:r w:rsidRPr="003A0FBD">
        <w:rPr>
          <w:b/>
          <w:bCs/>
          <w:lang w:val="en-US"/>
        </w:rPr>
        <w:t>Exemple</w:t>
      </w:r>
      <w:proofErr w:type="spellEnd"/>
      <w:r w:rsidRPr="003A0FBD">
        <w:rPr>
          <w:b/>
          <w:bCs/>
          <w:lang w:val="en-US"/>
        </w:rPr>
        <w:t xml:space="preserve"> n°</w:t>
      </w:r>
      <w:proofErr w:type="gramStart"/>
      <w:r w:rsidR="00EF2F61" w:rsidRPr="003A0FBD">
        <w:rPr>
          <w:b/>
          <w:bCs/>
          <w:lang w:val="en-US"/>
        </w:rPr>
        <w:t>2</w:t>
      </w:r>
      <w:r w:rsidRPr="003A0FBD">
        <w:rPr>
          <w:b/>
          <w:bCs/>
          <w:lang w:val="en-US"/>
        </w:rPr>
        <w:t> :</w:t>
      </w:r>
      <w:proofErr w:type="gramEnd"/>
    </w:p>
    <w:p w14:paraId="1CF19AC1" w14:textId="2DDE009B" w:rsidR="007B3740"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Porteur de projet :</w:t>
      </w:r>
      <w:r>
        <w:t xml:space="preserve"> </w:t>
      </w:r>
      <w:proofErr w:type="spellStart"/>
      <w:r w:rsidR="00DF3F4F">
        <w:t>Calix</w:t>
      </w:r>
      <w:proofErr w:type="spellEnd"/>
      <w:r w:rsidR="00DF3F4F">
        <w:t xml:space="preserve"> Europe (FR)</w:t>
      </w:r>
    </w:p>
    <w:p w14:paraId="7BCAAEF5" w14:textId="51568120" w:rsidR="007B3740" w:rsidRPr="003A0FBD"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3A0FBD">
        <w:rPr>
          <w:u w:val="single"/>
        </w:rPr>
        <w:t>Titre :</w:t>
      </w:r>
      <w:r w:rsidRPr="003A0FBD">
        <w:t xml:space="preserve"> </w:t>
      </w:r>
      <w:r w:rsidR="00296467" w:rsidRPr="003A0FBD">
        <w:t xml:space="preserve">LEILAC, Low Emissions </w:t>
      </w:r>
      <w:proofErr w:type="spellStart"/>
      <w:r w:rsidR="00296467" w:rsidRPr="003A0FBD">
        <w:t>Intensity</w:t>
      </w:r>
      <w:proofErr w:type="spellEnd"/>
      <w:r w:rsidR="00296467" w:rsidRPr="003A0FBD">
        <w:t xml:space="preserve"> Lime And Cement</w:t>
      </w:r>
    </w:p>
    <w:p w14:paraId="03D87CBA" w14:textId="3495F43F" w:rsidR="007B3740" w:rsidRPr="00C66BDB"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sidRPr="00C66BDB">
        <w:rPr>
          <w:u w:val="single"/>
        </w:rPr>
        <w:t>Partenariat :</w:t>
      </w:r>
      <w:r w:rsidRPr="00C66BDB">
        <w:t xml:space="preserve"> </w:t>
      </w:r>
      <w:r w:rsidR="00C66BDB" w:rsidRPr="00C66BDB">
        <w:t>15 participants, comprenant des e</w:t>
      </w:r>
      <w:r w:rsidR="00C66BDB">
        <w:t>ntreprises</w:t>
      </w:r>
      <w:r w:rsidR="000A56C6">
        <w:t xml:space="preserve"> et</w:t>
      </w:r>
      <w:r w:rsidR="00C66BDB">
        <w:t xml:space="preserve"> des </w:t>
      </w:r>
      <w:r w:rsidR="000A56C6">
        <w:t>u</w:t>
      </w:r>
      <w:r w:rsidR="00C66BDB">
        <w:t>niversités</w:t>
      </w:r>
      <w:r w:rsidR="000A56C6">
        <w:t>, issus de 7 pays.</w:t>
      </w:r>
    </w:p>
    <w:p w14:paraId="23359AC7" w14:textId="3D0BCE6E" w:rsidR="007B3740" w:rsidRPr="00975608"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proofErr w:type="gramStart"/>
      <w:r w:rsidRPr="00975608">
        <w:rPr>
          <w:u w:val="single"/>
          <w:lang w:val="en-US"/>
        </w:rPr>
        <w:t>Appel :</w:t>
      </w:r>
      <w:proofErr w:type="gramEnd"/>
      <w:r w:rsidRPr="00975608">
        <w:rPr>
          <w:lang w:val="en-US"/>
        </w:rPr>
        <w:t xml:space="preserve"> </w:t>
      </w:r>
      <w:r w:rsidR="00975608" w:rsidRPr="00975608">
        <w:rPr>
          <w:lang w:val="en-US"/>
        </w:rPr>
        <w:t xml:space="preserve">LCE-15-2015 - Enabling </w:t>
      </w:r>
      <w:proofErr w:type="spellStart"/>
      <w:r w:rsidR="00975608" w:rsidRPr="00975608">
        <w:rPr>
          <w:lang w:val="en-US"/>
        </w:rPr>
        <w:t>decarbonisation</w:t>
      </w:r>
      <w:proofErr w:type="spellEnd"/>
      <w:r w:rsidR="00975608" w:rsidRPr="00975608">
        <w:rPr>
          <w:lang w:val="en-US"/>
        </w:rPr>
        <w:t xml:space="preserve"> of the fossil fuel-based power sector and energy intensive industry through CCS</w:t>
      </w:r>
    </w:p>
    <w:p w14:paraId="5A7F8867" w14:textId="14ABD092" w:rsidR="007B3740"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Dates :</w:t>
      </w:r>
      <w:r>
        <w:t xml:space="preserve"> </w:t>
      </w:r>
      <w:r w:rsidR="00DF3F4F">
        <w:t>janvier 2016 à juin 2021</w:t>
      </w:r>
    </w:p>
    <w:p w14:paraId="69A0B587" w14:textId="4914C33F" w:rsidR="007B3740" w:rsidRDefault="007B3740"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Pr>
          <w:u w:val="single"/>
        </w:rPr>
        <w:t>Budget :</w:t>
      </w:r>
      <w:r>
        <w:t xml:space="preserve"> </w:t>
      </w:r>
      <w:r w:rsidR="00DF3F4F">
        <w:t>20.9 millions</w:t>
      </w:r>
      <w:r w:rsidR="00885670">
        <w:t xml:space="preserve"> d’euros</w:t>
      </w:r>
      <w:r w:rsidR="00DF3F4F">
        <w:t xml:space="preserve"> (dont 11.9 millions de subvention)</w:t>
      </w:r>
    </w:p>
    <w:p w14:paraId="14628E24" w14:textId="7262E31E" w:rsidR="00562008" w:rsidRDefault="00296467" w:rsidP="0056200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Le</w:t>
      </w:r>
      <w:r w:rsidR="00F61581">
        <w:t xml:space="preserve"> porteur de projet</w:t>
      </w:r>
      <w:r w:rsidR="00562008">
        <w:t xml:space="preserve"> pilotera une technologie de rupture qui permettra aux industries européennes du ciment et de la chaux de réduire considérablement leurs émissions tout en conservant, voire en augmentant, leur compétitivité internationale. LEILAC développera, construira et exploitera une usine pilote</w:t>
      </w:r>
      <w:r>
        <w:t xml:space="preserve"> capable de produire</w:t>
      </w:r>
      <w:r w:rsidR="00562008">
        <w:t xml:space="preserve"> 240 tonnes</w:t>
      </w:r>
      <w:r>
        <w:t>/</w:t>
      </w:r>
      <w:r w:rsidR="00562008">
        <w:t xml:space="preserve">jour faisant la démonstration de la technologie de calcination par séparation directe qui captera plus de 95 % des émissions de CO2 du procédé (soit 60 % des émissions totales de CO2) des deux industries sans pénalité énergétique ou </w:t>
      </w:r>
      <w:r>
        <w:t>financière</w:t>
      </w:r>
      <w:r w:rsidR="00562008">
        <w:t xml:space="preserve"> significative.</w:t>
      </w:r>
    </w:p>
    <w:p w14:paraId="23F3A4F7" w14:textId="77777777" w:rsidR="00562008" w:rsidRDefault="00562008" w:rsidP="0056200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1DD54366" w14:textId="2F226063" w:rsidR="00562008" w:rsidRDefault="00562008" w:rsidP="0029646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La technologie de séparation directe utilise un chauffage indirect dans lequel le CO2 du procédé et les gaz de combustion du four ne se mélangent pas, ce qui permet de capturer simplement du CO2 de haute qualité. La technologie peut être utilisée avec des carburants alternatifs et d'autres technologies de capture pour obtenir des émissions de CO2 négatives. Le projet permettra également la recherche de nouveaux matériaux de construction avec une empreinte carbone réduite</w:t>
      </w:r>
      <w:r w:rsidR="00296467">
        <w:t>.</w:t>
      </w:r>
    </w:p>
    <w:p w14:paraId="79B7282D" w14:textId="77777777" w:rsidR="00562008" w:rsidRDefault="00562008"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7FC90775" w14:textId="0DF3E7FA" w:rsidR="007B3740" w:rsidRPr="003A0FBD" w:rsidRDefault="003F18C8"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hyperlink r:id="rId22" w:history="1">
        <w:r w:rsidR="007B3740" w:rsidRPr="003A0FBD">
          <w:rPr>
            <w:rStyle w:val="Lienhypertexte"/>
            <w:lang w:val="en-US"/>
          </w:rPr>
          <w:t>Site web 1</w:t>
        </w:r>
      </w:hyperlink>
      <w:r w:rsidR="00296467" w:rsidRPr="003A0FBD">
        <w:rPr>
          <w:lang w:val="en-US"/>
        </w:rPr>
        <w:t xml:space="preserve"> </w:t>
      </w:r>
    </w:p>
    <w:p w14:paraId="721A7ADC" w14:textId="2ABAD942" w:rsidR="00296467" w:rsidRPr="003A0FBD" w:rsidRDefault="003F18C8" w:rsidP="007B374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hyperlink r:id="rId23" w:history="1">
        <w:r w:rsidR="00296467" w:rsidRPr="003A0FBD">
          <w:rPr>
            <w:rStyle w:val="Lienhypertexte"/>
            <w:lang w:val="en-US"/>
          </w:rPr>
          <w:t>Site web 2</w:t>
        </w:r>
      </w:hyperlink>
      <w:r w:rsidR="00296467" w:rsidRPr="003A0FBD">
        <w:rPr>
          <w:lang w:val="en-US"/>
        </w:rPr>
        <w:t xml:space="preserve"> </w:t>
      </w:r>
    </w:p>
    <w:p w14:paraId="35181E00" w14:textId="77777777" w:rsidR="00EF2F61" w:rsidRPr="003A0FBD" w:rsidRDefault="00EF2F61" w:rsidP="00EF2F61">
      <w:pPr>
        <w:tabs>
          <w:tab w:val="left" w:pos="1307"/>
        </w:tabs>
        <w:jc w:val="both"/>
        <w:rPr>
          <w:lang w:val="en-US"/>
        </w:rPr>
      </w:pPr>
    </w:p>
    <w:p w14:paraId="7943C1DC" w14:textId="1E35A25A" w:rsidR="00EF2F61" w:rsidRPr="003A0FBD" w:rsidRDefault="00EF2F61"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lang w:val="en-US"/>
        </w:rPr>
      </w:pPr>
      <w:proofErr w:type="spellStart"/>
      <w:r w:rsidRPr="003A0FBD">
        <w:rPr>
          <w:b/>
          <w:bCs/>
          <w:lang w:val="en-US"/>
        </w:rPr>
        <w:t>Exemple</w:t>
      </w:r>
      <w:proofErr w:type="spellEnd"/>
      <w:r w:rsidRPr="003A0FBD">
        <w:rPr>
          <w:b/>
          <w:bCs/>
          <w:lang w:val="en-US"/>
        </w:rPr>
        <w:t xml:space="preserve"> n°</w:t>
      </w:r>
      <w:proofErr w:type="gramStart"/>
      <w:r w:rsidRPr="003A0FBD">
        <w:rPr>
          <w:b/>
          <w:bCs/>
          <w:lang w:val="en-US"/>
        </w:rPr>
        <w:t>3 :</w:t>
      </w:r>
      <w:proofErr w:type="gramEnd"/>
    </w:p>
    <w:p w14:paraId="37710949" w14:textId="1E42A71F" w:rsidR="00EF2F61" w:rsidRDefault="00EF2F61"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Porteur de projet :</w:t>
      </w:r>
      <w:r>
        <w:t xml:space="preserve"> </w:t>
      </w:r>
      <w:r w:rsidR="00287ED2">
        <w:t>Commissariat à l’énergie atomique et aux énergies alternatives</w:t>
      </w:r>
    </w:p>
    <w:p w14:paraId="067E12CF" w14:textId="2C572207" w:rsidR="00EF2F61" w:rsidRPr="000A7186" w:rsidRDefault="00EF2F61"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proofErr w:type="spellStart"/>
      <w:proofErr w:type="gramStart"/>
      <w:r w:rsidRPr="000A7186">
        <w:rPr>
          <w:u w:val="single"/>
          <w:lang w:val="en-US"/>
        </w:rPr>
        <w:t>Titre</w:t>
      </w:r>
      <w:proofErr w:type="spellEnd"/>
      <w:r w:rsidRPr="000A7186">
        <w:rPr>
          <w:u w:val="single"/>
          <w:lang w:val="en-US"/>
        </w:rPr>
        <w:t> :</w:t>
      </w:r>
      <w:proofErr w:type="gramEnd"/>
      <w:r w:rsidRPr="000A7186">
        <w:rPr>
          <w:lang w:val="en-US"/>
        </w:rPr>
        <w:t xml:space="preserve"> </w:t>
      </w:r>
      <w:r w:rsidR="000A7186" w:rsidRPr="000A7186">
        <w:rPr>
          <w:lang w:val="en-US"/>
        </w:rPr>
        <w:t xml:space="preserve">CABRISS - Implementation of a </w:t>
      </w:r>
      <w:proofErr w:type="spellStart"/>
      <w:r w:rsidR="000A7186" w:rsidRPr="000A7186">
        <w:rPr>
          <w:lang w:val="en-US"/>
        </w:rPr>
        <w:t>CirculAr</w:t>
      </w:r>
      <w:proofErr w:type="spellEnd"/>
      <w:r w:rsidR="000A7186" w:rsidRPr="000A7186">
        <w:rPr>
          <w:lang w:val="en-US"/>
        </w:rPr>
        <w:t xml:space="preserve"> economy Based on Recycled, reused and recovered Indium, Silicon and Silver materials for photovoltaic and other applications</w:t>
      </w:r>
    </w:p>
    <w:p w14:paraId="2DA44825" w14:textId="51F584A1" w:rsidR="00EF2F61" w:rsidRDefault="00EF2F61"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Contact </w:t>
      </w:r>
      <w:r>
        <w:t xml:space="preserve">: </w:t>
      </w:r>
      <w:r w:rsidR="00F61581" w:rsidRPr="00F61581">
        <w:t>luc.federzoni@cea.fr, david.pelletier@cea.fr</w:t>
      </w:r>
    </w:p>
    <w:p w14:paraId="12708F15" w14:textId="58EEBA8B" w:rsidR="00EF2F61" w:rsidRPr="003A0FBD" w:rsidRDefault="00EF2F61"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sidRPr="003A0FBD">
        <w:rPr>
          <w:u w:val="single"/>
        </w:rPr>
        <w:t>Partenariat :</w:t>
      </w:r>
      <w:r w:rsidRPr="003A0FBD">
        <w:t xml:space="preserve"> </w:t>
      </w:r>
      <w:r w:rsidR="00A66BFB" w:rsidRPr="003A0FBD">
        <w:t xml:space="preserve">16 partenaires, issus de </w:t>
      </w:r>
      <w:r w:rsidR="006F4A75" w:rsidRPr="003A0FBD">
        <w:t>13 pays</w:t>
      </w:r>
    </w:p>
    <w:p w14:paraId="032DD1BA" w14:textId="0977A834" w:rsidR="00EF2F61" w:rsidRPr="00A66BFB" w:rsidRDefault="00EF2F61"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proofErr w:type="gramStart"/>
      <w:r w:rsidRPr="00A66BFB">
        <w:rPr>
          <w:u w:val="single"/>
          <w:lang w:val="en-US"/>
        </w:rPr>
        <w:t>Appel :</w:t>
      </w:r>
      <w:proofErr w:type="gramEnd"/>
      <w:r w:rsidRPr="00A66BFB">
        <w:rPr>
          <w:u w:val="single"/>
          <w:lang w:val="en-US"/>
        </w:rPr>
        <w:t xml:space="preserve"> </w:t>
      </w:r>
      <w:r w:rsidR="00A66BFB" w:rsidRPr="00A66BFB">
        <w:rPr>
          <w:lang w:val="en-US"/>
        </w:rPr>
        <w:t>H2020-EU.3.5.4. - Enabling the transition towards a green economy and society through eco-innovation</w:t>
      </w:r>
    </w:p>
    <w:p w14:paraId="0FD38FC9" w14:textId="70941940" w:rsidR="00EF2F61" w:rsidRDefault="00EF2F61"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Dates :</w:t>
      </w:r>
      <w:r>
        <w:t xml:space="preserve"> </w:t>
      </w:r>
      <w:r w:rsidR="00287ED2">
        <w:t>juin 2015 à mai 2018</w:t>
      </w:r>
    </w:p>
    <w:p w14:paraId="423FC2E0" w14:textId="3954706C" w:rsidR="00EF2F61" w:rsidRDefault="00EF2F61"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Pr>
          <w:u w:val="single"/>
        </w:rPr>
        <w:t>Budget :</w:t>
      </w:r>
      <w:r>
        <w:t xml:space="preserve"> </w:t>
      </w:r>
      <w:r w:rsidR="00287ED2">
        <w:t>9.2 millions d’euros (dont 7.8 de subvention)</w:t>
      </w:r>
    </w:p>
    <w:p w14:paraId="39A0D26C" w14:textId="77777777" w:rsidR="00B66D75" w:rsidRDefault="00A067C8"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xml:space="preserve">Le but du projet </w:t>
      </w:r>
      <w:r w:rsidRPr="00A067C8">
        <w:t xml:space="preserve">est de développer une économie circulaire principalement pour le photovoltaïque, mais aussi pour l'industrie électronique et verrière. Il consistera en la mise en œuvre de : (i) des technologies de recyclage pour récupérer In, Ag et Si pour la technologie PV durable et d'autres applications ; (ii) une feuille de route pour le traitement des cellules solaires, qui utilisera les déchets de silicium pour la fabrication à haut débit et rentable de cellules solaires hybrides à base de silicium et démontrera la possibilité de réutilisation et de recyclabilité en fin de vie des principaux matériaux photovoltaïques. </w:t>
      </w:r>
    </w:p>
    <w:p w14:paraId="6D4385EF" w14:textId="77777777" w:rsidR="00B66D75" w:rsidRDefault="00B66D75"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2323E657" w14:textId="064148B0" w:rsidR="00EF2F61" w:rsidRDefault="00A067C8"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A067C8">
        <w:t xml:space="preserve">Les cellules solaires développées auront la spécificité d'avoir un faible impact environnemental </w:t>
      </w:r>
      <w:r w:rsidR="00B66D75">
        <w:t>grâce à</w:t>
      </w:r>
      <w:r w:rsidRPr="00A067C8">
        <w:t xml:space="preserve"> la mise en œuvre de technologies à faible empreinte carbone et en conséquence, la technologie présentera un </w:t>
      </w:r>
      <w:r w:rsidR="00B66D75">
        <w:t xml:space="preserve">temps de retour énergétique réduit </w:t>
      </w:r>
      <w:r w:rsidRPr="00A067C8">
        <w:t xml:space="preserve">(environ 1 an). </w:t>
      </w:r>
    </w:p>
    <w:p w14:paraId="0FA83037" w14:textId="77777777" w:rsidR="00EF2F61" w:rsidRDefault="00EF2F61"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424E5864" w14:textId="1B9F3869" w:rsidR="00EF2F61" w:rsidRPr="00A66BFB" w:rsidRDefault="00A66BFB" w:rsidP="00EF2F6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rStyle w:val="Lienhypertexte"/>
        </w:rPr>
      </w:pPr>
      <w:r>
        <w:fldChar w:fldCharType="begin"/>
      </w:r>
      <w:r>
        <w:instrText xml:space="preserve"> HYPERLINK "https://www.spire2030.eu/cabriss/" </w:instrText>
      </w:r>
      <w:r>
        <w:fldChar w:fldCharType="separate"/>
      </w:r>
      <w:r w:rsidR="00EF2F61" w:rsidRPr="00A66BFB">
        <w:rPr>
          <w:rStyle w:val="Lienhypertexte"/>
        </w:rPr>
        <w:t>Site web 1</w:t>
      </w:r>
    </w:p>
    <w:p w14:paraId="07F09F33" w14:textId="7246D8F9" w:rsidR="00EF2F61" w:rsidRPr="00A66BFB" w:rsidRDefault="00A66BFB" w:rsidP="0053631A">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rStyle w:val="Lienhypertexte"/>
        </w:rPr>
      </w:pPr>
      <w:r>
        <w:fldChar w:fldCharType="end"/>
      </w:r>
      <w:r>
        <w:fldChar w:fldCharType="begin"/>
      </w:r>
      <w:r>
        <w:instrText xml:space="preserve"> HYPERLINK "https://cordis.europa.eu/project/id/641972" </w:instrText>
      </w:r>
      <w:r>
        <w:fldChar w:fldCharType="separate"/>
      </w:r>
      <w:r w:rsidR="00EF2F61" w:rsidRPr="00A66BFB">
        <w:rPr>
          <w:rStyle w:val="Lienhypertexte"/>
        </w:rPr>
        <w:t>Site web 2</w:t>
      </w:r>
    </w:p>
    <w:p w14:paraId="5C211950" w14:textId="7556A832" w:rsidR="00C37E92" w:rsidRDefault="00A66BFB" w:rsidP="00266EA7">
      <w:pPr>
        <w:pBdr>
          <w:top w:val="nil"/>
          <w:left w:val="nil"/>
          <w:bottom w:val="nil"/>
          <w:right w:val="nil"/>
          <w:between w:val="nil"/>
        </w:pBdr>
        <w:tabs>
          <w:tab w:val="left" w:pos="1307"/>
        </w:tabs>
        <w:jc w:val="both"/>
      </w:pPr>
      <w:r>
        <w:fldChar w:fldCharType="end"/>
      </w:r>
    </w:p>
    <w:p w14:paraId="187F7EE0" w14:textId="77777777" w:rsidR="00BB387A" w:rsidRPr="00266EA7" w:rsidRDefault="00BB387A" w:rsidP="00266EA7">
      <w:pPr>
        <w:pBdr>
          <w:top w:val="nil"/>
          <w:left w:val="nil"/>
          <w:bottom w:val="nil"/>
          <w:right w:val="nil"/>
          <w:between w:val="nil"/>
        </w:pBdr>
        <w:tabs>
          <w:tab w:val="left" w:pos="1307"/>
        </w:tabs>
        <w:jc w:val="both"/>
      </w:pPr>
    </w:p>
    <w:p w14:paraId="0000003A" w14:textId="77777777" w:rsidR="00CC781C" w:rsidRDefault="008F7158">
      <w:pPr>
        <w:pStyle w:val="Titre1"/>
        <w:ind w:firstLine="360"/>
      </w:pPr>
      <w:r>
        <w:t>Informations pratiques</w:t>
      </w:r>
    </w:p>
    <w:p w14:paraId="03C31880" w14:textId="77777777" w:rsidR="00885670" w:rsidRDefault="00885670" w:rsidP="00022061">
      <w:pPr>
        <w:tabs>
          <w:tab w:val="left" w:pos="1307"/>
        </w:tabs>
        <w:jc w:val="both"/>
      </w:pPr>
    </w:p>
    <w:p w14:paraId="5C5D08F2" w14:textId="4CDAFDB7" w:rsidR="00022061" w:rsidRDefault="00022061" w:rsidP="004552EE">
      <w:pPr>
        <w:pStyle w:val="Paragraphedeliste"/>
        <w:numPr>
          <w:ilvl w:val="0"/>
          <w:numId w:val="45"/>
        </w:numPr>
        <w:tabs>
          <w:tab w:val="left" w:pos="1307"/>
        </w:tabs>
        <w:jc w:val="both"/>
      </w:pPr>
      <w:r>
        <w:t>Des points de contacts nationaux (PCN) existent pour ce programme, et peuvent être contacté</w:t>
      </w:r>
      <w:r w:rsidR="00885670">
        <w:t>s</w:t>
      </w:r>
      <w:r>
        <w:t xml:space="preserve"> en cas de question ou de besoin de conseil. Ces PCN sont spécialisés par thématique transversale, par cluster, ou par instrument : PCN questions juridiques et financières ; PCN Santé ; PCN Fission ; PCN transports ; etc.</w:t>
      </w:r>
    </w:p>
    <w:p w14:paraId="782D1509" w14:textId="77777777" w:rsidR="00022061" w:rsidRDefault="00022061" w:rsidP="00022061">
      <w:pPr>
        <w:tabs>
          <w:tab w:val="left" w:pos="1307"/>
        </w:tabs>
        <w:ind w:left="360"/>
        <w:jc w:val="both"/>
      </w:pPr>
      <w:r>
        <w:t xml:space="preserve">La liste complète est disponible </w:t>
      </w:r>
      <w:hyperlink r:id="rId24" w:history="1">
        <w:r>
          <w:rPr>
            <w:rStyle w:val="Lienhypertexte"/>
          </w:rPr>
          <w:t>ici</w:t>
        </w:r>
      </w:hyperlink>
      <w:r>
        <w:t>.</w:t>
      </w:r>
    </w:p>
    <w:p w14:paraId="748CF466" w14:textId="77777777" w:rsidR="00022061" w:rsidRDefault="00022061" w:rsidP="00022061">
      <w:pPr>
        <w:tabs>
          <w:tab w:val="left" w:pos="1307"/>
        </w:tabs>
        <w:ind w:left="360"/>
        <w:jc w:val="both"/>
        <w:rPr>
          <w:color w:val="000000"/>
        </w:rPr>
      </w:pPr>
    </w:p>
    <w:p w14:paraId="2EEFE357" w14:textId="584F8654" w:rsidR="00BB5203" w:rsidRDefault="00022061" w:rsidP="00BB5203">
      <w:pPr>
        <w:pStyle w:val="Paragraphedeliste"/>
        <w:numPr>
          <w:ilvl w:val="0"/>
          <w:numId w:val="34"/>
        </w:numPr>
        <w:tabs>
          <w:tab w:val="left" w:pos="1307"/>
        </w:tabs>
        <w:jc w:val="both"/>
        <w:rPr>
          <w:rFonts w:asciiTheme="majorHAnsi" w:hAnsiTheme="majorHAnsi" w:cstheme="majorHAnsi"/>
        </w:rPr>
      </w:pPr>
      <w:r>
        <w:rPr>
          <w:rFonts w:asciiTheme="majorHAnsi" w:hAnsiTheme="majorHAnsi" w:cstheme="majorHAnsi"/>
        </w:rPr>
        <w:t xml:space="preserve">Les dates des différents appels sont disponibles dans le programme de travail, disponible </w:t>
      </w:r>
      <w:hyperlink r:id="rId25" w:history="1">
        <w:r w:rsidRPr="00022061">
          <w:rPr>
            <w:rStyle w:val="Lienhypertexte"/>
            <w:rFonts w:asciiTheme="majorHAnsi" w:hAnsiTheme="majorHAnsi" w:cstheme="majorHAnsi"/>
          </w:rPr>
          <w:t>ici</w:t>
        </w:r>
      </w:hyperlink>
      <w:r>
        <w:rPr>
          <w:rFonts w:asciiTheme="majorHAnsi" w:hAnsiTheme="majorHAnsi" w:cstheme="majorHAnsi"/>
        </w:rPr>
        <w:t xml:space="preserve">. </w:t>
      </w:r>
    </w:p>
    <w:p w14:paraId="2FC1FB31" w14:textId="77777777" w:rsidR="00022061" w:rsidRDefault="00022061" w:rsidP="00022061">
      <w:pPr>
        <w:tabs>
          <w:tab w:val="left" w:pos="1307"/>
        </w:tabs>
        <w:jc w:val="both"/>
        <w:rPr>
          <w:rFonts w:asciiTheme="majorHAnsi" w:hAnsiTheme="majorHAnsi" w:cstheme="majorHAnsi"/>
        </w:rPr>
      </w:pPr>
    </w:p>
    <w:p w14:paraId="2B13580A" w14:textId="65C525F0" w:rsidR="00BB5203" w:rsidRPr="005D2566" w:rsidRDefault="00022061" w:rsidP="005D2566">
      <w:pPr>
        <w:pStyle w:val="Paragraphedeliste"/>
        <w:numPr>
          <w:ilvl w:val="0"/>
          <w:numId w:val="34"/>
        </w:numPr>
        <w:tabs>
          <w:tab w:val="left" w:pos="1307"/>
        </w:tabs>
        <w:jc w:val="both"/>
        <w:rPr>
          <w:rFonts w:asciiTheme="majorHAnsi" w:hAnsiTheme="majorHAnsi" w:cstheme="majorHAnsi"/>
        </w:rPr>
      </w:pPr>
      <w:r>
        <w:rPr>
          <w:rFonts w:asciiTheme="majorHAnsi" w:hAnsiTheme="majorHAnsi" w:cstheme="majorHAnsi"/>
        </w:rPr>
        <w:t>La longueur du dossier</w:t>
      </w:r>
      <w:r w:rsidR="00BB5203">
        <w:rPr>
          <w:rFonts w:asciiTheme="majorHAnsi" w:hAnsiTheme="majorHAnsi" w:cstheme="majorHAnsi"/>
        </w:rPr>
        <w:t xml:space="preserve"> à soumettre est différent selon le type de projet :</w:t>
      </w:r>
    </w:p>
    <w:p w14:paraId="2995FE09" w14:textId="77777777" w:rsidR="00BB5203" w:rsidRDefault="00022061" w:rsidP="00BB5203">
      <w:pPr>
        <w:pStyle w:val="Paragraphedeliste"/>
        <w:numPr>
          <w:ilvl w:val="1"/>
          <w:numId w:val="34"/>
        </w:numPr>
        <w:tabs>
          <w:tab w:val="left" w:pos="1307"/>
        </w:tabs>
        <w:jc w:val="both"/>
        <w:rPr>
          <w:rFonts w:asciiTheme="majorHAnsi" w:hAnsiTheme="majorHAnsi" w:cstheme="majorHAnsi"/>
        </w:rPr>
      </w:pPr>
      <w:r>
        <w:rPr>
          <w:rFonts w:asciiTheme="majorHAnsi" w:hAnsiTheme="majorHAnsi" w:cstheme="majorHAnsi"/>
        </w:rPr>
        <w:t xml:space="preserve"> </w:t>
      </w:r>
      <w:r w:rsidR="00BB5203">
        <w:rPr>
          <w:rFonts w:asciiTheme="majorHAnsi" w:hAnsiTheme="majorHAnsi" w:cstheme="majorHAnsi"/>
        </w:rPr>
        <w:t>RIA ou IA : 45 pages</w:t>
      </w:r>
    </w:p>
    <w:p w14:paraId="03C19104" w14:textId="7C35BDBC" w:rsidR="00BB5203" w:rsidRDefault="00BB5203" w:rsidP="00BB5203">
      <w:pPr>
        <w:pStyle w:val="Paragraphedeliste"/>
        <w:numPr>
          <w:ilvl w:val="1"/>
          <w:numId w:val="34"/>
        </w:numPr>
        <w:tabs>
          <w:tab w:val="left" w:pos="1307"/>
        </w:tabs>
        <w:jc w:val="both"/>
        <w:rPr>
          <w:rFonts w:asciiTheme="majorHAnsi" w:hAnsiTheme="majorHAnsi" w:cstheme="majorHAnsi"/>
        </w:rPr>
      </w:pPr>
      <w:r>
        <w:rPr>
          <w:rFonts w:asciiTheme="majorHAnsi" w:hAnsiTheme="majorHAnsi" w:cstheme="majorHAnsi"/>
        </w:rPr>
        <w:t>CSA :</w:t>
      </w:r>
      <w:r w:rsidR="00C7416A">
        <w:rPr>
          <w:rFonts w:asciiTheme="majorHAnsi" w:hAnsiTheme="majorHAnsi" w:cstheme="majorHAnsi"/>
        </w:rPr>
        <w:t xml:space="preserve"> 30 pages</w:t>
      </w:r>
    </w:p>
    <w:p w14:paraId="3FCE5FE4" w14:textId="08442715" w:rsidR="00022061" w:rsidRPr="00BB5203" w:rsidRDefault="00022061" w:rsidP="00BB5203">
      <w:pPr>
        <w:tabs>
          <w:tab w:val="left" w:pos="1307"/>
        </w:tabs>
        <w:jc w:val="both"/>
        <w:rPr>
          <w:rFonts w:asciiTheme="majorHAnsi" w:hAnsiTheme="majorHAnsi" w:cstheme="majorHAnsi"/>
        </w:rPr>
      </w:pPr>
      <w:r w:rsidRPr="00BB5203">
        <w:rPr>
          <w:rFonts w:asciiTheme="majorHAnsi" w:hAnsiTheme="majorHAnsi" w:cstheme="majorHAnsi"/>
        </w:rPr>
        <w:t>Il peut cependant exister des exceptions selon les topics, et le nombre de pages peut monter à 60 ou 70 pages. Pour connaitre le nombre de pages exactes il faut consulter les règles propres à votre appel à projet</w:t>
      </w:r>
      <w:r w:rsidR="00885670">
        <w:rPr>
          <w:rFonts w:asciiTheme="majorHAnsi" w:hAnsiTheme="majorHAnsi" w:cstheme="majorHAnsi"/>
        </w:rPr>
        <w:t>s</w:t>
      </w:r>
      <w:r w:rsidRPr="00BB5203">
        <w:rPr>
          <w:rFonts w:asciiTheme="majorHAnsi" w:hAnsiTheme="majorHAnsi" w:cstheme="majorHAnsi"/>
        </w:rPr>
        <w:t xml:space="preserve"> dans le programme de travail</w:t>
      </w:r>
      <w:r w:rsidR="00B636A0">
        <w:rPr>
          <w:rFonts w:asciiTheme="majorHAnsi" w:hAnsiTheme="majorHAnsi" w:cstheme="majorHAnsi"/>
        </w:rPr>
        <w:t>.</w:t>
      </w:r>
    </w:p>
    <w:p w14:paraId="6B41868A" w14:textId="77777777" w:rsidR="00022061" w:rsidRDefault="00022061" w:rsidP="00022061">
      <w:pPr>
        <w:tabs>
          <w:tab w:val="left" w:pos="1307"/>
        </w:tabs>
        <w:jc w:val="both"/>
        <w:rPr>
          <w:rFonts w:asciiTheme="majorHAnsi" w:hAnsiTheme="majorHAnsi" w:cstheme="majorHAnsi"/>
        </w:rPr>
      </w:pPr>
    </w:p>
    <w:p w14:paraId="4BD35EBC" w14:textId="77777777" w:rsidR="00022061" w:rsidRPr="004552EE" w:rsidRDefault="00022061" w:rsidP="004552EE">
      <w:pPr>
        <w:pStyle w:val="Paragraphedeliste"/>
        <w:numPr>
          <w:ilvl w:val="0"/>
          <w:numId w:val="46"/>
        </w:numPr>
        <w:tabs>
          <w:tab w:val="left" w:pos="1307"/>
        </w:tabs>
        <w:jc w:val="both"/>
        <w:rPr>
          <w:rFonts w:asciiTheme="majorHAnsi" w:hAnsiTheme="majorHAnsi" w:cstheme="majorHAnsi"/>
        </w:rPr>
      </w:pPr>
      <w:r w:rsidRPr="004552EE">
        <w:rPr>
          <w:rFonts w:asciiTheme="majorHAnsi" w:hAnsiTheme="majorHAnsi" w:cstheme="majorHAnsi"/>
        </w:rPr>
        <w:t xml:space="preserve">La plateforme </w:t>
      </w:r>
      <w:hyperlink r:id="rId26" w:history="1">
        <w:proofErr w:type="spellStart"/>
        <w:r w:rsidRPr="00885670">
          <w:rPr>
            <w:rStyle w:val="Lienhypertexte"/>
            <w:rFonts w:asciiTheme="majorHAnsi" w:hAnsiTheme="majorHAnsi" w:cstheme="majorHAnsi"/>
          </w:rPr>
          <w:t>Funding&amp;Tenders</w:t>
        </w:r>
        <w:proofErr w:type="spellEnd"/>
      </w:hyperlink>
      <w:r w:rsidRPr="004552EE">
        <w:rPr>
          <w:rFonts w:asciiTheme="majorHAnsi" w:hAnsiTheme="majorHAnsi" w:cstheme="majorHAnsi"/>
        </w:rPr>
        <w:t xml:space="preserve"> regroupe un grand nombre d’éléments intéressants à consulter :</w:t>
      </w:r>
    </w:p>
    <w:p w14:paraId="06E61CDB" w14:textId="77777777" w:rsidR="00022061" w:rsidRDefault="00022061" w:rsidP="00022061">
      <w:pPr>
        <w:pStyle w:val="Paragraphedeliste"/>
        <w:numPr>
          <w:ilvl w:val="0"/>
          <w:numId w:val="38"/>
        </w:numPr>
        <w:tabs>
          <w:tab w:val="left" w:pos="1307"/>
        </w:tabs>
        <w:jc w:val="both"/>
        <w:rPr>
          <w:rFonts w:asciiTheme="majorHAnsi" w:hAnsiTheme="majorHAnsi" w:cstheme="majorHAnsi"/>
        </w:rPr>
      </w:pPr>
      <w:r>
        <w:rPr>
          <w:rFonts w:asciiTheme="majorHAnsi" w:hAnsiTheme="majorHAnsi" w:cstheme="majorHAnsi"/>
        </w:rPr>
        <w:t>Les documents de travail (programme de travail, trames de réponse, etc.)</w:t>
      </w:r>
    </w:p>
    <w:p w14:paraId="44EDA6C5" w14:textId="77777777" w:rsidR="00022061" w:rsidRDefault="00022061" w:rsidP="00022061">
      <w:pPr>
        <w:pStyle w:val="Paragraphedeliste"/>
        <w:numPr>
          <w:ilvl w:val="0"/>
          <w:numId w:val="38"/>
        </w:numPr>
        <w:tabs>
          <w:tab w:val="left" w:pos="1307"/>
        </w:tabs>
        <w:jc w:val="both"/>
        <w:rPr>
          <w:rFonts w:asciiTheme="majorHAnsi" w:hAnsiTheme="majorHAnsi" w:cstheme="majorHAnsi"/>
        </w:rPr>
      </w:pPr>
      <w:r>
        <w:rPr>
          <w:rFonts w:asciiTheme="majorHAnsi" w:hAnsiTheme="majorHAnsi" w:cstheme="majorHAnsi"/>
        </w:rPr>
        <w:t>Les appels clos, à venir, et en cours</w:t>
      </w:r>
    </w:p>
    <w:p w14:paraId="6C23A9A8" w14:textId="77777777" w:rsidR="00022061" w:rsidRDefault="00022061" w:rsidP="00022061">
      <w:pPr>
        <w:pStyle w:val="Paragraphedeliste"/>
        <w:numPr>
          <w:ilvl w:val="0"/>
          <w:numId w:val="38"/>
        </w:numPr>
        <w:tabs>
          <w:tab w:val="left" w:pos="1307"/>
        </w:tabs>
        <w:jc w:val="both"/>
        <w:rPr>
          <w:rFonts w:asciiTheme="majorHAnsi" w:hAnsiTheme="majorHAnsi" w:cstheme="majorHAnsi"/>
        </w:rPr>
      </w:pPr>
      <w:r>
        <w:rPr>
          <w:rFonts w:asciiTheme="majorHAnsi" w:hAnsiTheme="majorHAnsi" w:cstheme="majorHAnsi"/>
        </w:rPr>
        <w:t xml:space="preserve">Un </w:t>
      </w:r>
      <w:hyperlink r:id="rId27" w:history="1">
        <w:r>
          <w:rPr>
            <w:rStyle w:val="Lienhypertexte"/>
            <w:rFonts w:asciiTheme="majorHAnsi" w:hAnsiTheme="majorHAnsi" w:cstheme="majorHAnsi"/>
          </w:rPr>
          <w:t>portail</w:t>
        </w:r>
      </w:hyperlink>
      <w:r>
        <w:rPr>
          <w:rFonts w:asciiTheme="majorHAnsi" w:hAnsiTheme="majorHAnsi" w:cstheme="majorHAnsi"/>
        </w:rPr>
        <w:t xml:space="preserve"> de recherche de partenaires</w:t>
      </w:r>
    </w:p>
    <w:p w14:paraId="7C4A7FC2" w14:textId="27B9930F" w:rsidR="00B34036" w:rsidRDefault="00B34036" w:rsidP="00022061">
      <w:pPr>
        <w:pBdr>
          <w:top w:val="nil"/>
          <w:left w:val="nil"/>
          <w:bottom w:val="nil"/>
          <w:right w:val="nil"/>
          <w:between w:val="nil"/>
        </w:pBdr>
        <w:tabs>
          <w:tab w:val="left" w:pos="1307"/>
        </w:tabs>
        <w:jc w:val="both"/>
      </w:pPr>
    </w:p>
    <w:p w14:paraId="3B45A56C" w14:textId="21A61864" w:rsidR="00022061" w:rsidRDefault="00022061" w:rsidP="004552EE">
      <w:pPr>
        <w:pStyle w:val="Paragraphedeliste"/>
        <w:numPr>
          <w:ilvl w:val="0"/>
          <w:numId w:val="46"/>
        </w:numPr>
        <w:pBdr>
          <w:top w:val="nil"/>
          <w:left w:val="nil"/>
          <w:bottom w:val="nil"/>
          <w:right w:val="nil"/>
          <w:between w:val="nil"/>
        </w:pBdr>
        <w:tabs>
          <w:tab w:val="left" w:pos="1307"/>
        </w:tabs>
        <w:jc w:val="both"/>
      </w:pPr>
      <w:r>
        <w:t xml:space="preserve">N’hésitez pas à consulter également le site internet Horizon Europe du </w:t>
      </w:r>
      <w:hyperlink r:id="rId28" w:history="1">
        <w:r w:rsidRPr="00022061">
          <w:rPr>
            <w:rStyle w:val="Lienhypertexte"/>
          </w:rPr>
          <w:t>MESRI</w:t>
        </w:r>
      </w:hyperlink>
      <w:r>
        <w:t xml:space="preserve">, ni celui de la </w:t>
      </w:r>
      <w:hyperlink r:id="rId29" w:history="1">
        <w:r w:rsidRPr="00111FDA">
          <w:rPr>
            <w:rStyle w:val="Lienhypertexte"/>
          </w:rPr>
          <w:t>Commission européenne</w:t>
        </w:r>
      </w:hyperlink>
      <w:r>
        <w:t>.</w:t>
      </w:r>
      <w:r w:rsidR="00BA6300">
        <w:t xml:space="preserve"> </w:t>
      </w:r>
      <w:r>
        <w:t xml:space="preserve">Enfin, la plateforme Cordis recense tous les projets financés par le programme cadre depuis sa création en 1993, elle est disponible </w:t>
      </w:r>
      <w:hyperlink r:id="rId30" w:history="1">
        <w:r w:rsidRPr="00022061">
          <w:rPr>
            <w:rStyle w:val="Lienhypertexte"/>
          </w:rPr>
          <w:t>ici</w:t>
        </w:r>
      </w:hyperlink>
      <w:r>
        <w:t>.</w:t>
      </w:r>
    </w:p>
    <w:sectPr w:rsidR="00022061">
      <w:headerReference w:type="default" r:id="rId31"/>
      <w:footerReference w:type="even" r:id="rId32"/>
      <w:footerReference w:type="default" r:id="rId33"/>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E3E7F" w14:textId="77777777" w:rsidR="003F18C8" w:rsidRDefault="003F18C8">
      <w:r>
        <w:separator/>
      </w:r>
    </w:p>
  </w:endnote>
  <w:endnote w:type="continuationSeparator" w:id="0">
    <w:p w14:paraId="4E1CE048" w14:textId="77777777" w:rsidR="003F18C8" w:rsidRDefault="003F1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Times New Roman"/>
    <w:charset w:val="00"/>
    <w:family w:val="auto"/>
    <w:pitch w:val="default"/>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charset w:val="00"/>
    <w:family w:val="swiss"/>
    <w:pitch w:val="variable"/>
    <w:sig w:usb0="E0000AFF" w:usb1="500078FF" w:usb2="00000021" w:usb3="00000000" w:csb0="000001B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4B082F" w:rsidRDefault="004B082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4B082F" w:rsidRDefault="004B082F">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4B082F" w:rsidRDefault="004B082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4B082F" w14:paraId="4046B859" w14:textId="77777777">
      <w:tc>
        <w:tcPr>
          <w:tcW w:w="1661" w:type="dxa"/>
        </w:tcPr>
        <w:p w14:paraId="00000049" w14:textId="77777777" w:rsidR="004B082F" w:rsidRDefault="004B082F">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4B082F" w:rsidRDefault="004B082F">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4B082F" w:rsidRDefault="004B082F">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4B082F" w:rsidRDefault="004B082F">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CB13" w14:textId="77777777" w:rsidR="003F18C8" w:rsidRDefault="003F18C8">
      <w:r>
        <w:separator/>
      </w:r>
    </w:p>
  </w:footnote>
  <w:footnote w:type="continuationSeparator" w:id="0">
    <w:p w14:paraId="4FA00C2D" w14:textId="77777777" w:rsidR="003F18C8" w:rsidRDefault="003F18C8">
      <w:r>
        <w:continuationSeparator/>
      </w:r>
    </w:p>
  </w:footnote>
  <w:footnote w:id="1">
    <w:p w14:paraId="0090C373" w14:textId="7ECB5EB1" w:rsidR="004B082F" w:rsidRDefault="004B082F" w:rsidP="004552EE">
      <w:pPr>
        <w:pStyle w:val="Notedebasdepage"/>
        <w:jc w:val="both"/>
      </w:pPr>
      <w:r>
        <w:rPr>
          <w:rStyle w:val="Appelnotedebasdep"/>
        </w:rPr>
        <w:footnoteRef/>
      </w:r>
      <w:r>
        <w:t xml:space="preserve"> Cette présentation est une présentation simplifiée, d’autres types de coûts pouvant être éligibles selon le volet où l’on se situe, mais est la présentation la plus commune pour les projets du pilier 2</w:t>
      </w:r>
    </w:p>
  </w:footnote>
  <w:footnote w:id="2">
    <w:p w14:paraId="4CA6C821" w14:textId="77777777" w:rsidR="004B082F" w:rsidRDefault="004B082F" w:rsidP="00564E60">
      <w:pPr>
        <w:pStyle w:val="Notedebasdepage"/>
      </w:pPr>
      <w:r>
        <w:rPr>
          <w:rStyle w:val="Appelnotedebasdep"/>
        </w:rPr>
        <w:footnoteRef/>
      </w:r>
      <w:r>
        <w:t xml:space="preserve"> Voir la fiche « HE – Présentation générale » pour la définition des différentes catégories de participants</w:t>
      </w:r>
    </w:p>
  </w:footnote>
  <w:footnote w:id="3">
    <w:p w14:paraId="3558710D" w14:textId="5AFC9AE5" w:rsidR="004B082F" w:rsidRDefault="004B082F" w:rsidP="00564E60">
      <w:pPr>
        <w:pStyle w:val="Notedebasdepage"/>
      </w:pPr>
      <w:r>
        <w:rPr>
          <w:rStyle w:val="Appelnotedebasdep"/>
        </w:rPr>
        <w:footnoteRef/>
      </w:r>
      <w:r>
        <w:t xml:space="preserve"> Pour 2014-2020, 123 pays étaient concernés, le programme couvre donc quasiment l’ensemble des </w:t>
      </w:r>
      <w:r w:rsidR="00113B9B">
        <w:t>États</w:t>
      </w:r>
      <w:r>
        <w:t xml:space="preserve"> existants.</w:t>
      </w:r>
    </w:p>
  </w:footnote>
  <w:footnote w:id="4">
    <w:p w14:paraId="39474826" w14:textId="77777777" w:rsidR="00BB387A" w:rsidRDefault="00BB387A" w:rsidP="00BB387A">
      <w:pPr>
        <w:pStyle w:val="Notedebasdepage"/>
      </w:pPr>
      <w:r>
        <w:rPr>
          <w:rStyle w:val="Appelnotedebasdep"/>
        </w:rPr>
        <w:footnoteRef/>
      </w:r>
      <w:r>
        <w:t xml:space="preserve"> Il s’agit d’un lien vers une version provisoire de la convention de subvention, il conviendra de consulter la version finale lorsqu’elle sera publiée.</w:t>
      </w:r>
    </w:p>
  </w:footnote>
  <w:footnote w:id="5">
    <w:p w14:paraId="425F5699" w14:textId="77777777" w:rsidR="00BB387A" w:rsidRDefault="00BB387A" w:rsidP="00BB387A">
      <w:pPr>
        <w:pStyle w:val="Notedebasdepage"/>
      </w:pPr>
      <w:r>
        <w:rPr>
          <w:rStyle w:val="Appelnotedebasdep"/>
        </w:rPr>
        <w:footnoteRef/>
      </w:r>
      <w:r>
        <w:t xml:space="preserve"> Il s’agit de fiches explicatives relatives au programme Horizon 2020. Il conviendra de consulter celles relatives à Horizon Europe dès qu’elles seront disponibles sur </w:t>
      </w:r>
      <w:hyperlink r:id="rId1" w:history="1">
        <w:r w:rsidRPr="00877C03">
          <w:rPr>
            <w:rStyle w:val="Lienhypertexte"/>
          </w:rPr>
          <w:t>le site du Ministère de l’Enseignement supérieur, de la recherche et de l’innovation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77777777" w:rsidR="004B082F" w:rsidRDefault="004B082F">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38F424DE" wp14:editId="093723BB">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23627090" wp14:editId="1284FD90">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8486D"/>
    <w:multiLevelType w:val="hybridMultilevel"/>
    <w:tmpl w:val="88A0EA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2F23D9"/>
    <w:multiLevelType w:val="hybridMultilevel"/>
    <w:tmpl w:val="4D5AD598"/>
    <w:lvl w:ilvl="0" w:tplc="B40224F6">
      <w:start w:val="30"/>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F26D7B"/>
    <w:multiLevelType w:val="hybridMultilevel"/>
    <w:tmpl w:val="8A78C9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EA2AEA"/>
    <w:multiLevelType w:val="hybridMultilevel"/>
    <w:tmpl w:val="115E96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B562C0"/>
    <w:multiLevelType w:val="hybridMultilevel"/>
    <w:tmpl w:val="44EA4ECC"/>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E2C2F34"/>
    <w:multiLevelType w:val="hybridMultilevel"/>
    <w:tmpl w:val="1C6EF1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E92B9C"/>
    <w:multiLevelType w:val="hybridMultilevel"/>
    <w:tmpl w:val="8988A1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616889"/>
    <w:multiLevelType w:val="multilevel"/>
    <w:tmpl w:val="14660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5B338B"/>
    <w:multiLevelType w:val="hybridMultilevel"/>
    <w:tmpl w:val="490EF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2B64FD"/>
    <w:multiLevelType w:val="hybridMultilevel"/>
    <w:tmpl w:val="349821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24A46"/>
    <w:multiLevelType w:val="hybridMultilevel"/>
    <w:tmpl w:val="945E8366"/>
    <w:lvl w:ilvl="0" w:tplc="D592BBD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1B6F03"/>
    <w:multiLevelType w:val="hybridMultilevel"/>
    <w:tmpl w:val="036CABC0"/>
    <w:lvl w:ilvl="0" w:tplc="7F9E781A">
      <w:start w:val="5"/>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2F174D66"/>
    <w:multiLevelType w:val="hybridMultilevel"/>
    <w:tmpl w:val="6BC4CA8A"/>
    <w:lvl w:ilvl="0" w:tplc="CDCA77C0">
      <w:start w:val="3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9B3039"/>
    <w:multiLevelType w:val="hybridMultilevel"/>
    <w:tmpl w:val="936E673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3FF259B6"/>
    <w:multiLevelType w:val="hybridMultilevel"/>
    <w:tmpl w:val="C33C8D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EA01A3"/>
    <w:multiLevelType w:val="hybridMultilevel"/>
    <w:tmpl w:val="10108A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F235F1"/>
    <w:multiLevelType w:val="hybridMultilevel"/>
    <w:tmpl w:val="4D3A1B6A"/>
    <w:lvl w:ilvl="0" w:tplc="A6E643B0">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7B52287"/>
    <w:multiLevelType w:val="hybridMultilevel"/>
    <w:tmpl w:val="ADD8B07C"/>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914725"/>
    <w:multiLevelType w:val="hybridMultilevel"/>
    <w:tmpl w:val="149C0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E357C2"/>
    <w:multiLevelType w:val="hybridMultilevel"/>
    <w:tmpl w:val="09E86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7A6392"/>
    <w:multiLevelType w:val="hybridMultilevel"/>
    <w:tmpl w:val="2334021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96748A"/>
    <w:multiLevelType w:val="hybridMultilevel"/>
    <w:tmpl w:val="3B9C1D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994D78"/>
    <w:multiLevelType w:val="hybridMultilevel"/>
    <w:tmpl w:val="651E9F80"/>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65F83224"/>
    <w:multiLevelType w:val="hybridMultilevel"/>
    <w:tmpl w:val="76A86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2148C6"/>
    <w:multiLevelType w:val="hybridMultilevel"/>
    <w:tmpl w:val="E916B6CE"/>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6A297F37"/>
    <w:multiLevelType w:val="hybridMultilevel"/>
    <w:tmpl w:val="8F7648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AD003F"/>
    <w:multiLevelType w:val="hybridMultilevel"/>
    <w:tmpl w:val="6B005B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E002D3"/>
    <w:multiLevelType w:val="hybridMultilevel"/>
    <w:tmpl w:val="08F62E66"/>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8E18BE"/>
    <w:multiLevelType w:val="hybridMultilevel"/>
    <w:tmpl w:val="E47AC28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1DB20CA"/>
    <w:multiLevelType w:val="hybridMultilevel"/>
    <w:tmpl w:val="2BA6D572"/>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8454FE"/>
    <w:multiLevelType w:val="hybridMultilevel"/>
    <w:tmpl w:val="3446BF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16CC0"/>
    <w:multiLevelType w:val="hybridMultilevel"/>
    <w:tmpl w:val="089ECF86"/>
    <w:lvl w:ilvl="0" w:tplc="0298E5D6">
      <w:start w:val="1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C52FE3"/>
    <w:multiLevelType w:val="hybridMultilevel"/>
    <w:tmpl w:val="9C340D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7F617132"/>
    <w:multiLevelType w:val="hybridMultilevel"/>
    <w:tmpl w:val="8DAEE2FE"/>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3"/>
  </w:num>
  <w:num w:numId="2">
    <w:abstractNumId w:val="28"/>
  </w:num>
  <w:num w:numId="3">
    <w:abstractNumId w:val="16"/>
  </w:num>
  <w:num w:numId="4">
    <w:abstractNumId w:val="31"/>
  </w:num>
  <w:num w:numId="5">
    <w:abstractNumId w:val="3"/>
  </w:num>
  <w:num w:numId="6">
    <w:abstractNumId w:val="18"/>
  </w:num>
  <w:num w:numId="7">
    <w:abstractNumId w:val="23"/>
  </w:num>
  <w:num w:numId="8">
    <w:abstractNumId w:val="20"/>
  </w:num>
  <w:num w:numId="9">
    <w:abstractNumId w:val="19"/>
  </w:num>
  <w:num w:numId="10">
    <w:abstractNumId w:val="30"/>
  </w:num>
  <w:num w:numId="11">
    <w:abstractNumId w:val="25"/>
  </w:num>
  <w:num w:numId="12">
    <w:abstractNumId w:val="39"/>
  </w:num>
  <w:num w:numId="13">
    <w:abstractNumId w:val="10"/>
  </w:num>
  <w:num w:numId="14">
    <w:abstractNumId w:val="27"/>
  </w:num>
  <w:num w:numId="15">
    <w:abstractNumId w:val="36"/>
  </w:num>
  <w:num w:numId="16">
    <w:abstractNumId w:val="29"/>
  </w:num>
  <w:num w:numId="17">
    <w:abstractNumId w:val="40"/>
  </w:num>
  <w:num w:numId="18">
    <w:abstractNumId w:val="7"/>
  </w:num>
  <w:num w:numId="19">
    <w:abstractNumId w:val="2"/>
  </w:num>
  <w:num w:numId="20">
    <w:abstractNumId w:val="21"/>
  </w:num>
  <w:num w:numId="21">
    <w:abstractNumId w:val="0"/>
  </w:num>
  <w:num w:numId="22">
    <w:abstractNumId w:val="34"/>
  </w:num>
  <w:num w:numId="23">
    <w:abstractNumId w:val="12"/>
  </w:num>
  <w:num w:numId="24">
    <w:abstractNumId w:val="24"/>
  </w:num>
  <w:num w:numId="25">
    <w:abstractNumId w:val="8"/>
  </w:num>
  <w:num w:numId="26">
    <w:abstractNumId w:val="17"/>
  </w:num>
  <w:num w:numId="27">
    <w:abstractNumId w:val="22"/>
  </w:num>
  <w:num w:numId="28">
    <w:abstractNumId w:val="26"/>
  </w:num>
  <w:num w:numId="29">
    <w:abstractNumId w:val="9"/>
  </w:num>
  <w:num w:numId="30">
    <w:abstractNumId w:val="32"/>
  </w:num>
  <w:num w:numId="31">
    <w:abstractNumId w:val="14"/>
  </w:num>
  <w:num w:numId="32">
    <w:abstractNumId w:val="1"/>
  </w:num>
  <w:num w:numId="33">
    <w:abstractNumId w:val="13"/>
  </w:num>
  <w:num w:numId="34">
    <w:abstractNumId w:val="40"/>
  </w:num>
  <w:num w:numId="35">
    <w:abstractNumId w:val="30"/>
  </w:num>
  <w:num w:numId="36">
    <w:abstractNumId w:val="34"/>
  </w:num>
  <w:num w:numId="37">
    <w:abstractNumId w:val="16"/>
  </w:num>
  <w:num w:numId="38">
    <w:abstractNumId w:val="5"/>
  </w:num>
  <w:num w:numId="39">
    <w:abstractNumId w:val="4"/>
  </w:num>
  <w:num w:numId="40">
    <w:abstractNumId w:val="38"/>
  </w:num>
  <w:num w:numId="41">
    <w:abstractNumId w:val="11"/>
  </w:num>
  <w:num w:numId="42">
    <w:abstractNumId w:val="6"/>
  </w:num>
  <w:num w:numId="43">
    <w:abstractNumId w:val="37"/>
  </w:num>
  <w:num w:numId="44">
    <w:abstractNumId w:val="33"/>
  </w:num>
  <w:num w:numId="45">
    <w:abstractNumId w:val="35"/>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11315"/>
    <w:rsid w:val="000139FC"/>
    <w:rsid w:val="00022061"/>
    <w:rsid w:val="0003124D"/>
    <w:rsid w:val="00033E81"/>
    <w:rsid w:val="00037BCA"/>
    <w:rsid w:val="00037D79"/>
    <w:rsid w:val="00047829"/>
    <w:rsid w:val="000550DA"/>
    <w:rsid w:val="00071F7F"/>
    <w:rsid w:val="00076293"/>
    <w:rsid w:val="00085DFA"/>
    <w:rsid w:val="000A39CF"/>
    <w:rsid w:val="000A56C6"/>
    <w:rsid w:val="000A7186"/>
    <w:rsid w:val="000D353A"/>
    <w:rsid w:val="000D54A4"/>
    <w:rsid w:val="000D7E98"/>
    <w:rsid w:val="000F0837"/>
    <w:rsid w:val="00100D2C"/>
    <w:rsid w:val="00111FDA"/>
    <w:rsid w:val="00113B9B"/>
    <w:rsid w:val="00115F38"/>
    <w:rsid w:val="00116B2B"/>
    <w:rsid w:val="00117367"/>
    <w:rsid w:val="00123887"/>
    <w:rsid w:val="001307F4"/>
    <w:rsid w:val="00141A49"/>
    <w:rsid w:val="0017175C"/>
    <w:rsid w:val="00195956"/>
    <w:rsid w:val="001B0059"/>
    <w:rsid w:val="001B0D68"/>
    <w:rsid w:val="001E124C"/>
    <w:rsid w:val="001E4A33"/>
    <w:rsid w:val="001E5A62"/>
    <w:rsid w:val="001F1809"/>
    <w:rsid w:val="002022B1"/>
    <w:rsid w:val="00211C1C"/>
    <w:rsid w:val="00252C72"/>
    <w:rsid w:val="002643DF"/>
    <w:rsid w:val="002658F9"/>
    <w:rsid w:val="0026654F"/>
    <w:rsid w:val="00266EA7"/>
    <w:rsid w:val="00270770"/>
    <w:rsid w:val="00287ED2"/>
    <w:rsid w:val="00296467"/>
    <w:rsid w:val="002A4F31"/>
    <w:rsid w:val="002B7BB0"/>
    <w:rsid w:val="002D0572"/>
    <w:rsid w:val="002D40C6"/>
    <w:rsid w:val="002D5054"/>
    <w:rsid w:val="002D713C"/>
    <w:rsid w:val="002D736A"/>
    <w:rsid w:val="002E389B"/>
    <w:rsid w:val="002F062C"/>
    <w:rsid w:val="002F1E2B"/>
    <w:rsid w:val="002F7055"/>
    <w:rsid w:val="00301363"/>
    <w:rsid w:val="00302C26"/>
    <w:rsid w:val="003112CA"/>
    <w:rsid w:val="003254E0"/>
    <w:rsid w:val="00330D04"/>
    <w:rsid w:val="0033437A"/>
    <w:rsid w:val="00346EA6"/>
    <w:rsid w:val="003477CE"/>
    <w:rsid w:val="0036444E"/>
    <w:rsid w:val="003735E4"/>
    <w:rsid w:val="0037750E"/>
    <w:rsid w:val="003A0FBD"/>
    <w:rsid w:val="003D5CA5"/>
    <w:rsid w:val="003D7BF1"/>
    <w:rsid w:val="003F18C8"/>
    <w:rsid w:val="004051DD"/>
    <w:rsid w:val="00413D68"/>
    <w:rsid w:val="004245B4"/>
    <w:rsid w:val="00424D22"/>
    <w:rsid w:val="00433FE5"/>
    <w:rsid w:val="004457F6"/>
    <w:rsid w:val="00445B1D"/>
    <w:rsid w:val="004472C8"/>
    <w:rsid w:val="004552EE"/>
    <w:rsid w:val="00463C4E"/>
    <w:rsid w:val="00467F28"/>
    <w:rsid w:val="00482C11"/>
    <w:rsid w:val="004A2228"/>
    <w:rsid w:val="004A4A6C"/>
    <w:rsid w:val="004B082F"/>
    <w:rsid w:val="004B2677"/>
    <w:rsid w:val="004C21F8"/>
    <w:rsid w:val="004D5118"/>
    <w:rsid w:val="004E2FEF"/>
    <w:rsid w:val="004E4585"/>
    <w:rsid w:val="004F46ED"/>
    <w:rsid w:val="00503AD5"/>
    <w:rsid w:val="005115D9"/>
    <w:rsid w:val="00511B22"/>
    <w:rsid w:val="0051765A"/>
    <w:rsid w:val="0053631A"/>
    <w:rsid w:val="00540B0F"/>
    <w:rsid w:val="00550D53"/>
    <w:rsid w:val="0055332E"/>
    <w:rsid w:val="00556249"/>
    <w:rsid w:val="00562008"/>
    <w:rsid w:val="00564E60"/>
    <w:rsid w:val="0058550F"/>
    <w:rsid w:val="005923B2"/>
    <w:rsid w:val="00592F07"/>
    <w:rsid w:val="005A31C3"/>
    <w:rsid w:val="005A38AF"/>
    <w:rsid w:val="005B3BAF"/>
    <w:rsid w:val="005C431F"/>
    <w:rsid w:val="005D2566"/>
    <w:rsid w:val="005D76AF"/>
    <w:rsid w:val="005E60D4"/>
    <w:rsid w:val="006153F1"/>
    <w:rsid w:val="00620CF4"/>
    <w:rsid w:val="006226D6"/>
    <w:rsid w:val="00632CCC"/>
    <w:rsid w:val="00637979"/>
    <w:rsid w:val="00653F88"/>
    <w:rsid w:val="00654BD2"/>
    <w:rsid w:val="00662CD8"/>
    <w:rsid w:val="006713F3"/>
    <w:rsid w:val="0067672C"/>
    <w:rsid w:val="00682ABF"/>
    <w:rsid w:val="0068369B"/>
    <w:rsid w:val="006929D3"/>
    <w:rsid w:val="0069485E"/>
    <w:rsid w:val="006A014C"/>
    <w:rsid w:val="006D7F2A"/>
    <w:rsid w:val="006F4A75"/>
    <w:rsid w:val="007051C1"/>
    <w:rsid w:val="00706999"/>
    <w:rsid w:val="007110C5"/>
    <w:rsid w:val="0071744F"/>
    <w:rsid w:val="00723B5C"/>
    <w:rsid w:val="00725144"/>
    <w:rsid w:val="00732585"/>
    <w:rsid w:val="00734C73"/>
    <w:rsid w:val="007350F1"/>
    <w:rsid w:val="00746390"/>
    <w:rsid w:val="00754CB4"/>
    <w:rsid w:val="00756436"/>
    <w:rsid w:val="0075699C"/>
    <w:rsid w:val="00757448"/>
    <w:rsid w:val="00767CE4"/>
    <w:rsid w:val="007A5979"/>
    <w:rsid w:val="007A683C"/>
    <w:rsid w:val="007A79DD"/>
    <w:rsid w:val="007B2B31"/>
    <w:rsid w:val="007B3740"/>
    <w:rsid w:val="007B3E20"/>
    <w:rsid w:val="007D7F68"/>
    <w:rsid w:val="007E2C7D"/>
    <w:rsid w:val="007E5662"/>
    <w:rsid w:val="007F3D32"/>
    <w:rsid w:val="00804BF3"/>
    <w:rsid w:val="00812CF1"/>
    <w:rsid w:val="00816307"/>
    <w:rsid w:val="00822080"/>
    <w:rsid w:val="00822D83"/>
    <w:rsid w:val="00825B46"/>
    <w:rsid w:val="00836639"/>
    <w:rsid w:val="008548A0"/>
    <w:rsid w:val="00866AA5"/>
    <w:rsid w:val="00881296"/>
    <w:rsid w:val="00885670"/>
    <w:rsid w:val="008926DD"/>
    <w:rsid w:val="008A0B78"/>
    <w:rsid w:val="008A70F1"/>
    <w:rsid w:val="008B33B7"/>
    <w:rsid w:val="008C667C"/>
    <w:rsid w:val="008D3448"/>
    <w:rsid w:val="008D701F"/>
    <w:rsid w:val="008E0CBB"/>
    <w:rsid w:val="008F07F9"/>
    <w:rsid w:val="008F7158"/>
    <w:rsid w:val="009062CC"/>
    <w:rsid w:val="00910B1F"/>
    <w:rsid w:val="00924047"/>
    <w:rsid w:val="00932D39"/>
    <w:rsid w:val="009407B7"/>
    <w:rsid w:val="00941847"/>
    <w:rsid w:val="00951471"/>
    <w:rsid w:val="00975608"/>
    <w:rsid w:val="009926BF"/>
    <w:rsid w:val="009B0310"/>
    <w:rsid w:val="009B2842"/>
    <w:rsid w:val="009B732B"/>
    <w:rsid w:val="009D262C"/>
    <w:rsid w:val="009F646F"/>
    <w:rsid w:val="00A067C8"/>
    <w:rsid w:val="00A14552"/>
    <w:rsid w:val="00A30493"/>
    <w:rsid w:val="00A322A4"/>
    <w:rsid w:val="00A356C5"/>
    <w:rsid w:val="00A46600"/>
    <w:rsid w:val="00A55857"/>
    <w:rsid w:val="00A64727"/>
    <w:rsid w:val="00A66BFB"/>
    <w:rsid w:val="00A71A65"/>
    <w:rsid w:val="00A8230A"/>
    <w:rsid w:val="00A82A69"/>
    <w:rsid w:val="00A832A0"/>
    <w:rsid w:val="00A9074D"/>
    <w:rsid w:val="00AB31F8"/>
    <w:rsid w:val="00B205E6"/>
    <w:rsid w:val="00B27C98"/>
    <w:rsid w:val="00B34036"/>
    <w:rsid w:val="00B42738"/>
    <w:rsid w:val="00B4740A"/>
    <w:rsid w:val="00B57658"/>
    <w:rsid w:val="00B62A41"/>
    <w:rsid w:val="00B636A0"/>
    <w:rsid w:val="00B66D75"/>
    <w:rsid w:val="00B71AAA"/>
    <w:rsid w:val="00B90DCF"/>
    <w:rsid w:val="00BA6300"/>
    <w:rsid w:val="00BB11C6"/>
    <w:rsid w:val="00BB387A"/>
    <w:rsid w:val="00BB5203"/>
    <w:rsid w:val="00BB732D"/>
    <w:rsid w:val="00BC239C"/>
    <w:rsid w:val="00BD3F7C"/>
    <w:rsid w:val="00BE46CF"/>
    <w:rsid w:val="00C13E80"/>
    <w:rsid w:val="00C15F55"/>
    <w:rsid w:val="00C25CAC"/>
    <w:rsid w:val="00C34222"/>
    <w:rsid w:val="00C34656"/>
    <w:rsid w:val="00C37E92"/>
    <w:rsid w:val="00C44AFD"/>
    <w:rsid w:val="00C47BF3"/>
    <w:rsid w:val="00C571FE"/>
    <w:rsid w:val="00C57C5D"/>
    <w:rsid w:val="00C66BDB"/>
    <w:rsid w:val="00C70BAB"/>
    <w:rsid w:val="00C7416A"/>
    <w:rsid w:val="00C82247"/>
    <w:rsid w:val="00C8309E"/>
    <w:rsid w:val="00C86DCA"/>
    <w:rsid w:val="00C97B38"/>
    <w:rsid w:val="00CB26F4"/>
    <w:rsid w:val="00CB413C"/>
    <w:rsid w:val="00CB4FA0"/>
    <w:rsid w:val="00CC4E55"/>
    <w:rsid w:val="00CC781C"/>
    <w:rsid w:val="00CE1055"/>
    <w:rsid w:val="00CE2E5D"/>
    <w:rsid w:val="00D00138"/>
    <w:rsid w:val="00D027C7"/>
    <w:rsid w:val="00D113AB"/>
    <w:rsid w:val="00D11798"/>
    <w:rsid w:val="00D151CC"/>
    <w:rsid w:val="00D329BD"/>
    <w:rsid w:val="00D34040"/>
    <w:rsid w:val="00D357E3"/>
    <w:rsid w:val="00D41D19"/>
    <w:rsid w:val="00D44A72"/>
    <w:rsid w:val="00D458D9"/>
    <w:rsid w:val="00D72386"/>
    <w:rsid w:val="00D81665"/>
    <w:rsid w:val="00D823D8"/>
    <w:rsid w:val="00D928E6"/>
    <w:rsid w:val="00D9293C"/>
    <w:rsid w:val="00D9374C"/>
    <w:rsid w:val="00DA7566"/>
    <w:rsid w:val="00DB6D18"/>
    <w:rsid w:val="00DC1DF8"/>
    <w:rsid w:val="00DD17EE"/>
    <w:rsid w:val="00DD635E"/>
    <w:rsid w:val="00DD7154"/>
    <w:rsid w:val="00DE493C"/>
    <w:rsid w:val="00DF3F4F"/>
    <w:rsid w:val="00E05569"/>
    <w:rsid w:val="00E15DF1"/>
    <w:rsid w:val="00E21BA8"/>
    <w:rsid w:val="00E26C00"/>
    <w:rsid w:val="00E37AA7"/>
    <w:rsid w:val="00E612C9"/>
    <w:rsid w:val="00E63198"/>
    <w:rsid w:val="00E65201"/>
    <w:rsid w:val="00E7402D"/>
    <w:rsid w:val="00E85589"/>
    <w:rsid w:val="00E92F80"/>
    <w:rsid w:val="00EB0702"/>
    <w:rsid w:val="00EC651F"/>
    <w:rsid w:val="00ED5B9C"/>
    <w:rsid w:val="00EF2F61"/>
    <w:rsid w:val="00EF502E"/>
    <w:rsid w:val="00F13846"/>
    <w:rsid w:val="00F30E04"/>
    <w:rsid w:val="00F522B6"/>
    <w:rsid w:val="00F57235"/>
    <w:rsid w:val="00F60BD1"/>
    <w:rsid w:val="00F61581"/>
    <w:rsid w:val="00F838CD"/>
    <w:rsid w:val="00F84101"/>
    <w:rsid w:val="00F857DD"/>
    <w:rsid w:val="00F95C6D"/>
    <w:rsid w:val="00FA23FF"/>
    <w:rsid w:val="00FA5BD7"/>
    <w:rsid w:val="00FE4BC6"/>
    <w:rsid w:val="00FF543E"/>
    <w:rsid w:val="00FF6D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5"/>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 w:type="paragraph" w:styleId="NormalWeb">
    <w:name w:val="Normal (Web)"/>
    <w:basedOn w:val="Normal"/>
    <w:uiPriority w:val="99"/>
    <w:unhideWhenUsed/>
    <w:rsid w:val="007D7F68"/>
    <w:pPr>
      <w:spacing w:before="100" w:beforeAutospacing="1" w:after="100" w:afterAutospacing="1"/>
    </w:pPr>
    <w:rPr>
      <w:rFonts w:ascii="Times New Roman" w:eastAsia="Times New Roman" w:hAnsi="Times New Roman" w:cs="Times New Roman"/>
      <w:sz w:val="24"/>
      <w:szCs w:val="24"/>
    </w:rPr>
  </w:style>
  <w:style w:type="character" w:styleId="lev">
    <w:name w:val="Strong"/>
    <w:basedOn w:val="Policepardfaut"/>
    <w:uiPriority w:val="22"/>
    <w:qFormat/>
    <w:rsid w:val="007D7F68"/>
    <w:rPr>
      <w:b/>
      <w:bCs/>
    </w:rPr>
  </w:style>
  <w:style w:type="paragraph" w:customStyle="1" w:styleId="Default">
    <w:name w:val="Default"/>
    <w:rsid w:val="00047829"/>
    <w:pPr>
      <w:autoSpaceDE w:val="0"/>
      <w:autoSpaceDN w:val="0"/>
      <w:adjustRightInd w:val="0"/>
    </w:pPr>
    <w:rPr>
      <w:color w:val="000000"/>
      <w:sz w:val="24"/>
      <w:szCs w:val="24"/>
    </w:rPr>
  </w:style>
  <w:style w:type="paragraph" w:styleId="PrformatHTML">
    <w:name w:val="HTML Preformatted"/>
    <w:basedOn w:val="Normal"/>
    <w:link w:val="PrformatHTMLCar"/>
    <w:uiPriority w:val="99"/>
    <w:semiHidden/>
    <w:unhideWhenUsed/>
    <w:rsid w:val="005D76AF"/>
    <w:rPr>
      <w:rFonts w:ascii="Consolas" w:hAnsi="Consolas"/>
      <w:sz w:val="20"/>
      <w:szCs w:val="20"/>
    </w:rPr>
  </w:style>
  <w:style w:type="character" w:customStyle="1" w:styleId="PrformatHTMLCar">
    <w:name w:val="Préformaté HTML Car"/>
    <w:basedOn w:val="Policepardfaut"/>
    <w:link w:val="PrformatHTML"/>
    <w:uiPriority w:val="99"/>
    <w:semiHidden/>
    <w:rsid w:val="005D76AF"/>
    <w:rPr>
      <w:rFonts w:ascii="Consolas" w:hAnsi="Consolas"/>
      <w:sz w:val="20"/>
      <w:szCs w:val="20"/>
    </w:rPr>
  </w:style>
  <w:style w:type="paragraph" w:customStyle="1" w:styleId="CellTextValue">
    <w:name w:val="CellTextValue"/>
    <w:basedOn w:val="Normal"/>
    <w:link w:val="CellTextValueChar"/>
    <w:qFormat/>
    <w:rsid w:val="00816307"/>
    <w:pPr>
      <w:spacing w:after="80" w:line="276" w:lineRule="auto"/>
      <w:jc w:val="both"/>
    </w:pPr>
    <w:rPr>
      <w:rFonts w:ascii="Times New Roman" w:eastAsiaTheme="minorEastAsia" w:hAnsi="Times New Roman" w:cs="Times New Roman"/>
      <w:sz w:val="24"/>
      <w:szCs w:val="24"/>
      <w:lang w:val="en-GB" w:eastAsia="en-GB"/>
    </w:rPr>
  </w:style>
  <w:style w:type="character" w:customStyle="1" w:styleId="CellTextValueChar">
    <w:name w:val="CellTextValue Char"/>
    <w:basedOn w:val="Policepardfaut"/>
    <w:link w:val="CellTextValue"/>
    <w:rsid w:val="00816307"/>
    <w:rPr>
      <w:rFonts w:ascii="Times New Roman" w:eastAsiaTheme="minorEastAsia"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05441">
      <w:bodyDiv w:val="1"/>
      <w:marLeft w:val="0"/>
      <w:marRight w:val="0"/>
      <w:marTop w:val="0"/>
      <w:marBottom w:val="0"/>
      <w:divBdr>
        <w:top w:val="none" w:sz="0" w:space="0" w:color="auto"/>
        <w:left w:val="none" w:sz="0" w:space="0" w:color="auto"/>
        <w:bottom w:val="none" w:sz="0" w:space="0" w:color="auto"/>
        <w:right w:val="none" w:sz="0" w:space="0" w:color="auto"/>
      </w:divBdr>
    </w:div>
    <w:div w:id="723869755">
      <w:bodyDiv w:val="1"/>
      <w:marLeft w:val="0"/>
      <w:marRight w:val="0"/>
      <w:marTop w:val="0"/>
      <w:marBottom w:val="0"/>
      <w:divBdr>
        <w:top w:val="none" w:sz="0" w:space="0" w:color="auto"/>
        <w:left w:val="none" w:sz="0" w:space="0" w:color="auto"/>
        <w:bottom w:val="none" w:sz="0" w:space="0" w:color="auto"/>
        <w:right w:val="none" w:sz="0" w:space="0" w:color="auto"/>
      </w:divBdr>
    </w:div>
    <w:div w:id="729965784">
      <w:bodyDiv w:val="1"/>
      <w:marLeft w:val="0"/>
      <w:marRight w:val="0"/>
      <w:marTop w:val="0"/>
      <w:marBottom w:val="0"/>
      <w:divBdr>
        <w:top w:val="none" w:sz="0" w:space="0" w:color="auto"/>
        <w:left w:val="none" w:sz="0" w:space="0" w:color="auto"/>
        <w:bottom w:val="none" w:sz="0" w:space="0" w:color="auto"/>
        <w:right w:val="none" w:sz="0" w:space="0" w:color="auto"/>
      </w:divBdr>
    </w:div>
    <w:div w:id="849566129">
      <w:bodyDiv w:val="1"/>
      <w:marLeft w:val="0"/>
      <w:marRight w:val="0"/>
      <w:marTop w:val="0"/>
      <w:marBottom w:val="0"/>
      <w:divBdr>
        <w:top w:val="none" w:sz="0" w:space="0" w:color="auto"/>
        <w:left w:val="none" w:sz="0" w:space="0" w:color="auto"/>
        <w:bottom w:val="none" w:sz="0" w:space="0" w:color="auto"/>
        <w:right w:val="none" w:sz="0" w:space="0" w:color="auto"/>
      </w:divBdr>
    </w:div>
    <w:div w:id="1145858504">
      <w:bodyDiv w:val="1"/>
      <w:marLeft w:val="0"/>
      <w:marRight w:val="0"/>
      <w:marTop w:val="0"/>
      <w:marBottom w:val="0"/>
      <w:divBdr>
        <w:top w:val="none" w:sz="0" w:space="0" w:color="auto"/>
        <w:left w:val="none" w:sz="0" w:space="0" w:color="auto"/>
        <w:bottom w:val="none" w:sz="0" w:space="0" w:color="auto"/>
        <w:right w:val="none" w:sz="0" w:space="0" w:color="auto"/>
      </w:divBdr>
    </w:div>
    <w:div w:id="1187478454">
      <w:bodyDiv w:val="1"/>
      <w:marLeft w:val="0"/>
      <w:marRight w:val="0"/>
      <w:marTop w:val="0"/>
      <w:marBottom w:val="0"/>
      <w:divBdr>
        <w:top w:val="none" w:sz="0" w:space="0" w:color="auto"/>
        <w:left w:val="none" w:sz="0" w:space="0" w:color="auto"/>
        <w:bottom w:val="none" w:sz="0" w:space="0" w:color="auto"/>
        <w:right w:val="none" w:sz="0" w:space="0" w:color="auto"/>
      </w:divBdr>
    </w:div>
    <w:div w:id="1230771595">
      <w:bodyDiv w:val="1"/>
      <w:marLeft w:val="0"/>
      <w:marRight w:val="0"/>
      <w:marTop w:val="0"/>
      <w:marBottom w:val="0"/>
      <w:divBdr>
        <w:top w:val="none" w:sz="0" w:space="0" w:color="auto"/>
        <w:left w:val="none" w:sz="0" w:space="0" w:color="auto"/>
        <w:bottom w:val="none" w:sz="0" w:space="0" w:color="auto"/>
        <w:right w:val="none" w:sz="0" w:space="0" w:color="auto"/>
      </w:divBdr>
    </w:div>
    <w:div w:id="1949003430">
      <w:bodyDiv w:val="1"/>
      <w:marLeft w:val="0"/>
      <w:marRight w:val="0"/>
      <w:marTop w:val="0"/>
      <w:marBottom w:val="0"/>
      <w:divBdr>
        <w:top w:val="none" w:sz="0" w:space="0" w:color="auto"/>
        <w:left w:val="none" w:sz="0" w:space="0" w:color="auto"/>
        <w:bottom w:val="none" w:sz="0" w:space="0" w:color="auto"/>
        <w:right w:val="none" w:sz="0" w:space="0" w:color="auto"/>
      </w:divBdr>
    </w:div>
    <w:div w:id="2005742556">
      <w:bodyDiv w:val="1"/>
      <w:marLeft w:val="0"/>
      <w:marRight w:val="0"/>
      <w:marTop w:val="0"/>
      <w:marBottom w:val="0"/>
      <w:divBdr>
        <w:top w:val="none" w:sz="0" w:space="0" w:color="auto"/>
        <w:left w:val="none" w:sz="0" w:space="0" w:color="auto"/>
        <w:bottom w:val="none" w:sz="0" w:space="0" w:color="auto"/>
        <w:right w:val="none" w:sz="0" w:space="0" w:color="auto"/>
      </w:divBdr>
    </w:div>
    <w:div w:id="2065177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horizon2020.gouv.fr/cid81981/les-differents-types-de-financements.html" TargetMode="External"/><Relationship Id="rId18" Type="http://schemas.openxmlformats.org/officeDocument/2006/relationships/hyperlink" Target="https://cache.media.education.gouv.fr/file/Fiches_pratiques_du_PCN_juridique_et_financier/49/1/20150226_audits_396491.pdf" TargetMode="External"/><Relationship Id="rId26" Type="http://schemas.openxmlformats.org/officeDocument/2006/relationships/hyperlink" Target="https://ec.europa.eu/info/funding-tenders/opportunities/portal/screen/home" TargetMode="External"/><Relationship Id="rId3" Type="http://schemas.openxmlformats.org/officeDocument/2006/relationships/numbering" Target="numbering.xml"/><Relationship Id="rId21" Type="http://schemas.openxmlformats.org/officeDocument/2006/relationships/hyperlink" Target="https://cordis.europa.eu/project/id/723930"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horizon-europe.gouv.fr/sites/default/files/2020-12/pr-sentation-du-cluster-4-2621.pdf" TargetMode="External"/><Relationship Id="rId17" Type="http://schemas.openxmlformats.org/officeDocument/2006/relationships/hyperlink" Target="https://ec.europa.eu/info/funding-tenders/opportunities/portal/screen/how-to-participate/reference-documents" TargetMode="External"/><Relationship Id="rId25" Type="http://schemas.openxmlformats.org/officeDocument/2006/relationships/hyperlink" Target="https://www.horizon-europe.gouv.fr/numerique-industrie-et-espace-24080"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c.europa.eu/info/funding-tenders/opportunities/docs/2021-2027/common/agr-contr/general-mga_horizon-euratom_en.pdf" TargetMode="External"/><Relationship Id="rId20" Type="http://schemas.openxmlformats.org/officeDocument/2006/relationships/hyperlink" Target="mailto:contact@lowup-h2020.eu" TargetMode="External"/><Relationship Id="rId29" Type="http://schemas.openxmlformats.org/officeDocument/2006/relationships/hyperlink" Target="https://ec.europa.eu/info/research-and-innovation/funding/funding-opportunities/funding-programmes-and-open-calls/horizon-europe_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s://www.horizon-europe.gouv.fr/les-points-de-contact-nationaux-24230"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horizon2020.gouv.fr/cid76866/liste-des-pays-associes-horizon-2020.html" TargetMode="External"/><Relationship Id="rId23" Type="http://schemas.openxmlformats.org/officeDocument/2006/relationships/hyperlink" Target="https://cordis.europa.eu/project/id/654465" TargetMode="External"/><Relationship Id="rId28" Type="http://schemas.openxmlformats.org/officeDocument/2006/relationships/hyperlink" Target="https://www.horizon-europe.gouv.fr/" TargetMode="External"/><Relationship Id="rId10" Type="http://schemas.openxmlformats.org/officeDocument/2006/relationships/hyperlink" Target="https://ec.europa.eu/info/funding-tenders/opportunities/portal/screen/home" TargetMode="External"/><Relationship Id="rId19" Type="http://schemas.openxmlformats.org/officeDocument/2006/relationships/hyperlink" Target="https://www.horizon2020.gouv.fr/cid86592/les-fiches-pratiques-pcn-juridique-financier.html"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fif"/><Relationship Id="rId14" Type="http://schemas.openxmlformats.org/officeDocument/2006/relationships/image" Target="media/image3.PNG"/><Relationship Id="rId22" Type="http://schemas.openxmlformats.org/officeDocument/2006/relationships/hyperlink" Target="https://www.project-leilac.eu/" TargetMode="External"/><Relationship Id="rId27" Type="http://schemas.openxmlformats.org/officeDocument/2006/relationships/hyperlink" Target="https://ec.europa.eu/info/funding-tenders/opportunities/portal/screen/how-to-participate/partner-search" TargetMode="External"/><Relationship Id="rId30" Type="http://schemas.openxmlformats.org/officeDocument/2006/relationships/hyperlink" Target="https://cordis.europa.eu/" TargetMode="External"/><Relationship Id="rId35" Type="http://schemas.openxmlformats.org/officeDocument/2006/relationships/theme" Target="theme/theme1.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horizon-europe.gouv.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jpg"/><Relationship Id="rId2" Type="http://schemas.openxmlformats.org/officeDocument/2006/relationships/image" Target="media/image5.jpg"/><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67ED07E5-32E6-44DD-A20C-736D1D87774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4924</Words>
  <Characters>27088</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22</cp:revision>
  <dcterms:created xsi:type="dcterms:W3CDTF">2021-06-07T15:46:00Z</dcterms:created>
  <dcterms:modified xsi:type="dcterms:W3CDTF">2021-06-30T08:01:00Z</dcterms:modified>
</cp:coreProperties>
</file>