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CC781C" w:rsidRDefault="008F7158">
      <w:pPr>
        <w:pStyle w:val="Titre"/>
        <w:pBdr>
          <w:bottom w:val="single" w:sz="12" w:space="9" w:color="B2A1C7"/>
        </w:pBdr>
        <w:spacing w:before="0" w:after="0"/>
        <w:rPr>
          <w:rFonts w:ascii="Cambria" w:eastAsia="Cambria" w:hAnsi="Cambria" w:cs="Cambria"/>
          <w:b/>
        </w:rPr>
      </w:pPr>
      <w:r>
        <w:rPr>
          <w:rFonts w:ascii="Cambria" w:eastAsia="Cambria" w:hAnsi="Cambria" w:cs="Cambria"/>
          <w:b/>
        </w:rPr>
        <w:t>Financements européens pertinents pour la transition écologique et énergétique dans le Grand Est</w:t>
      </w:r>
    </w:p>
    <w:p w14:paraId="00000002" w14:textId="78959A84" w:rsidR="00CC781C" w:rsidRDefault="009F1C7A" w:rsidP="0099682C">
      <w:pPr>
        <w:spacing w:before="360" w:after="360"/>
        <w:jc w:val="center"/>
        <w:rPr>
          <w:rFonts w:ascii="Cambria" w:eastAsia="Cambria" w:hAnsi="Cambria" w:cs="Cambria"/>
          <w:b/>
          <w:smallCaps/>
          <w:color w:val="403152"/>
          <w:sz w:val="40"/>
          <w:szCs w:val="40"/>
        </w:rPr>
      </w:pPr>
      <w:sdt>
        <w:sdtPr>
          <w:tag w:val="goog_rdk_0"/>
          <w:id w:val="-826363511"/>
        </w:sdtPr>
        <w:sdtEndPr/>
        <w:sdtContent/>
      </w:sdt>
      <w:r w:rsidR="00122981">
        <w:rPr>
          <w:rFonts w:ascii="Cambria" w:eastAsia="Cambria" w:hAnsi="Cambria" w:cs="Cambria"/>
          <w:b/>
          <w:smallCaps/>
          <w:color w:val="403152"/>
          <w:sz w:val="40"/>
          <w:szCs w:val="40"/>
        </w:rPr>
        <w:t>EU City Facility (EUCF)</w:t>
      </w:r>
    </w:p>
    <w:p w14:paraId="47CF1749" w14:textId="7D694F80" w:rsidR="00122981" w:rsidRDefault="00122981" w:rsidP="00122981">
      <w:pPr>
        <w:spacing w:before="360" w:after="360"/>
        <w:jc w:val="center"/>
        <w:rPr>
          <w:rFonts w:ascii="Cambria" w:eastAsia="Cambria" w:hAnsi="Cambria" w:cs="Cambria"/>
          <w:b/>
          <w:smallCaps/>
          <w:color w:val="403152"/>
          <w:sz w:val="40"/>
          <w:szCs w:val="40"/>
        </w:rPr>
      </w:pPr>
      <w:r>
        <w:rPr>
          <w:rFonts w:ascii="Cambria" w:eastAsia="Cambria" w:hAnsi="Cambria" w:cs="Cambria"/>
          <w:b/>
          <w:smallCaps/>
          <w:noProof/>
          <w:color w:val="403152"/>
          <w:sz w:val="40"/>
          <w:szCs w:val="40"/>
        </w:rPr>
        <w:drawing>
          <wp:inline distT="0" distB="0" distL="0" distR="0" wp14:anchorId="4C1BE479" wp14:editId="7DC3947C">
            <wp:extent cx="3909060" cy="1156763"/>
            <wp:effectExtent l="0" t="0" r="0" b="571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8">
                      <a:extLst>
                        <a:ext uri="{28A0092B-C50C-407E-A947-70E740481C1C}">
                          <a14:useLocalDpi xmlns:a14="http://schemas.microsoft.com/office/drawing/2010/main" val="0"/>
                        </a:ext>
                      </a:extLst>
                    </a:blip>
                    <a:stretch>
                      <a:fillRect/>
                    </a:stretch>
                  </pic:blipFill>
                  <pic:spPr>
                    <a:xfrm>
                      <a:off x="0" y="0"/>
                      <a:ext cx="3946307" cy="1167785"/>
                    </a:xfrm>
                    <a:prstGeom prst="rect">
                      <a:avLst/>
                    </a:prstGeom>
                  </pic:spPr>
                </pic:pic>
              </a:graphicData>
            </a:graphic>
          </wp:inline>
        </w:drawing>
      </w:r>
    </w:p>
    <w:tbl>
      <w:tblPr>
        <w:tblStyle w:val="Grilledutableau"/>
        <w:tblW w:w="9752"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CCC0D9" w:themeFill="accent4" w:themeFillTint="66"/>
        <w:tblLook w:val="04A0" w:firstRow="1" w:lastRow="0" w:firstColumn="1" w:lastColumn="0" w:noHBand="0" w:noVBand="1"/>
      </w:tblPr>
      <w:tblGrid>
        <w:gridCol w:w="1905"/>
        <w:gridCol w:w="2535"/>
        <w:gridCol w:w="2974"/>
        <w:gridCol w:w="2338"/>
      </w:tblGrid>
      <w:tr w:rsidR="000F49AD" w:rsidRPr="002F3CAA" w14:paraId="30BFE80A" w14:textId="77777777" w:rsidTr="000F49AD">
        <w:trPr>
          <w:trHeight w:val="787"/>
        </w:trPr>
        <w:tc>
          <w:tcPr>
            <w:tcW w:w="1905" w:type="dxa"/>
            <w:shd w:val="clear" w:color="auto" w:fill="CCC0D9" w:themeFill="accent4" w:themeFillTint="66"/>
            <w:vAlign w:val="center"/>
          </w:tcPr>
          <w:p w14:paraId="4680F4D8" w14:textId="77777777" w:rsidR="000F49AD" w:rsidRPr="002F3CAA" w:rsidRDefault="000F49AD" w:rsidP="00FB6063">
            <w:pPr>
              <w:tabs>
                <w:tab w:val="left" w:pos="1307"/>
              </w:tabs>
              <w:jc w:val="center"/>
              <w:rPr>
                <w:b/>
                <w:bCs/>
              </w:rPr>
            </w:pPr>
            <w:r>
              <w:rPr>
                <w:b/>
                <w:bCs/>
              </w:rPr>
              <w:t>Domaines visés</w:t>
            </w:r>
          </w:p>
        </w:tc>
        <w:tc>
          <w:tcPr>
            <w:tcW w:w="2535" w:type="dxa"/>
            <w:shd w:val="clear" w:color="auto" w:fill="CCC0D9" w:themeFill="accent4" w:themeFillTint="66"/>
            <w:vAlign w:val="center"/>
          </w:tcPr>
          <w:p w14:paraId="5C3DDEDB" w14:textId="77777777" w:rsidR="000F49AD" w:rsidRPr="002F3CAA" w:rsidRDefault="000F49AD" w:rsidP="00FB6063">
            <w:pPr>
              <w:tabs>
                <w:tab w:val="left" w:pos="1307"/>
              </w:tabs>
              <w:jc w:val="center"/>
              <w:rPr>
                <w:b/>
                <w:bCs/>
              </w:rPr>
            </w:pPr>
            <w:r w:rsidRPr="002F3CAA">
              <w:rPr>
                <w:b/>
                <w:bCs/>
              </w:rPr>
              <w:t>Porteurs de projet éligibles</w:t>
            </w:r>
          </w:p>
        </w:tc>
        <w:tc>
          <w:tcPr>
            <w:tcW w:w="5312" w:type="dxa"/>
            <w:gridSpan w:val="2"/>
            <w:shd w:val="clear" w:color="auto" w:fill="CCC0D9" w:themeFill="accent4" w:themeFillTint="66"/>
            <w:vAlign w:val="center"/>
          </w:tcPr>
          <w:p w14:paraId="7D57EA2E" w14:textId="6D1E3C4E" w:rsidR="000F49AD" w:rsidRPr="002F3CAA" w:rsidRDefault="000F49AD" w:rsidP="00FB6063">
            <w:pPr>
              <w:tabs>
                <w:tab w:val="left" w:pos="1307"/>
              </w:tabs>
              <w:jc w:val="center"/>
              <w:rPr>
                <w:b/>
                <w:bCs/>
              </w:rPr>
            </w:pPr>
            <w:r>
              <w:rPr>
                <w:b/>
                <w:bCs/>
              </w:rPr>
              <w:t>Type de partenariat</w:t>
            </w:r>
          </w:p>
        </w:tc>
      </w:tr>
      <w:tr w:rsidR="00122981" w14:paraId="14E42DFA" w14:textId="77777777" w:rsidTr="00FB6063">
        <w:trPr>
          <w:trHeight w:val="669"/>
        </w:trPr>
        <w:tc>
          <w:tcPr>
            <w:tcW w:w="1905" w:type="dxa"/>
            <w:shd w:val="clear" w:color="auto" w:fill="E5DFEC" w:themeFill="accent4" w:themeFillTint="33"/>
            <w:vAlign w:val="center"/>
          </w:tcPr>
          <w:p w14:paraId="4D358EE4" w14:textId="43E81519" w:rsidR="00122981" w:rsidRDefault="00122981" w:rsidP="00FB6063">
            <w:pPr>
              <w:tabs>
                <w:tab w:val="left" w:pos="1307"/>
              </w:tabs>
              <w:jc w:val="center"/>
            </w:pPr>
            <w:r>
              <w:t>Energie, climat</w:t>
            </w:r>
          </w:p>
        </w:tc>
        <w:tc>
          <w:tcPr>
            <w:tcW w:w="2535" w:type="dxa"/>
            <w:shd w:val="clear" w:color="auto" w:fill="E5DFEC" w:themeFill="accent4" w:themeFillTint="33"/>
            <w:vAlign w:val="center"/>
          </w:tcPr>
          <w:p w14:paraId="1AB790B4" w14:textId="412A6566" w:rsidR="00122981" w:rsidRDefault="00AB0DEF" w:rsidP="00FB6063">
            <w:pPr>
              <w:tabs>
                <w:tab w:val="left" w:pos="1307"/>
              </w:tabs>
              <w:jc w:val="center"/>
            </w:pPr>
            <w:r>
              <w:t>Communes et intercommunalités</w:t>
            </w:r>
          </w:p>
        </w:tc>
        <w:tc>
          <w:tcPr>
            <w:tcW w:w="5312" w:type="dxa"/>
            <w:gridSpan w:val="2"/>
            <w:shd w:val="clear" w:color="auto" w:fill="E5DFEC" w:themeFill="accent4" w:themeFillTint="33"/>
            <w:vAlign w:val="center"/>
          </w:tcPr>
          <w:p w14:paraId="4F2D38AD" w14:textId="40D7BF1E" w:rsidR="00122981" w:rsidRDefault="00122981" w:rsidP="00FB6063">
            <w:pPr>
              <w:tabs>
                <w:tab w:val="left" w:pos="1307"/>
              </w:tabs>
              <w:jc w:val="center"/>
            </w:pPr>
            <w:r>
              <w:t>Candidature individuelle mais groupements encouragés (derrière un porteur de projet)</w:t>
            </w:r>
          </w:p>
        </w:tc>
      </w:tr>
      <w:tr w:rsidR="00122981" w:rsidRPr="002F3CAA" w14:paraId="7832EEDA" w14:textId="77777777" w:rsidTr="000F49AD">
        <w:trPr>
          <w:trHeight w:val="628"/>
        </w:trPr>
        <w:tc>
          <w:tcPr>
            <w:tcW w:w="1905" w:type="dxa"/>
            <w:shd w:val="clear" w:color="auto" w:fill="CCC0D9" w:themeFill="accent4" w:themeFillTint="66"/>
            <w:vAlign w:val="center"/>
          </w:tcPr>
          <w:p w14:paraId="10C47D3B" w14:textId="72320177" w:rsidR="00122981" w:rsidRPr="002F3CAA" w:rsidRDefault="00122981" w:rsidP="00122981">
            <w:pPr>
              <w:tabs>
                <w:tab w:val="left" w:pos="1307"/>
              </w:tabs>
              <w:jc w:val="center"/>
              <w:rPr>
                <w:b/>
                <w:bCs/>
              </w:rPr>
            </w:pPr>
            <w:r>
              <w:rPr>
                <w:b/>
                <w:bCs/>
              </w:rPr>
              <w:t>Typologie de projet</w:t>
            </w:r>
          </w:p>
        </w:tc>
        <w:tc>
          <w:tcPr>
            <w:tcW w:w="2535" w:type="dxa"/>
            <w:shd w:val="clear" w:color="auto" w:fill="CCC0D9" w:themeFill="accent4" w:themeFillTint="66"/>
            <w:vAlign w:val="center"/>
          </w:tcPr>
          <w:p w14:paraId="5D04F6C1" w14:textId="0057278D" w:rsidR="00122981" w:rsidRDefault="00122981" w:rsidP="00122981">
            <w:pPr>
              <w:tabs>
                <w:tab w:val="left" w:pos="1307"/>
              </w:tabs>
              <w:jc w:val="center"/>
              <w:rPr>
                <w:b/>
                <w:bCs/>
              </w:rPr>
            </w:pPr>
            <w:r w:rsidRPr="002F3CAA">
              <w:rPr>
                <w:b/>
                <w:bCs/>
              </w:rPr>
              <w:t>Forme de l’appui financier</w:t>
            </w:r>
          </w:p>
        </w:tc>
        <w:tc>
          <w:tcPr>
            <w:tcW w:w="2974" w:type="dxa"/>
            <w:shd w:val="clear" w:color="auto" w:fill="CCC0D9" w:themeFill="accent4" w:themeFillTint="66"/>
            <w:vAlign w:val="center"/>
          </w:tcPr>
          <w:p w14:paraId="227B3E67" w14:textId="04106EF4" w:rsidR="00122981" w:rsidRPr="002F3CAA" w:rsidRDefault="00122981" w:rsidP="00122981">
            <w:pPr>
              <w:tabs>
                <w:tab w:val="left" w:pos="1307"/>
              </w:tabs>
              <w:jc w:val="center"/>
              <w:rPr>
                <w:b/>
                <w:bCs/>
              </w:rPr>
            </w:pPr>
            <w:r w:rsidRPr="002F3CAA">
              <w:rPr>
                <w:b/>
                <w:bCs/>
              </w:rPr>
              <w:t>Mode de candidature</w:t>
            </w:r>
          </w:p>
        </w:tc>
        <w:tc>
          <w:tcPr>
            <w:tcW w:w="2338" w:type="dxa"/>
            <w:shd w:val="clear" w:color="auto" w:fill="CCC0D9" w:themeFill="accent4" w:themeFillTint="66"/>
            <w:vAlign w:val="center"/>
          </w:tcPr>
          <w:p w14:paraId="6D15CBA8" w14:textId="07B03E14" w:rsidR="00122981" w:rsidRPr="00C1573D" w:rsidRDefault="00122981" w:rsidP="00122981">
            <w:pPr>
              <w:tabs>
                <w:tab w:val="left" w:pos="1307"/>
              </w:tabs>
              <w:jc w:val="center"/>
              <w:rPr>
                <w:b/>
                <w:bCs/>
              </w:rPr>
            </w:pPr>
            <w:r w:rsidRPr="00C1573D">
              <w:rPr>
                <w:b/>
                <w:bCs/>
              </w:rPr>
              <w:t xml:space="preserve">Durée des projets </w:t>
            </w:r>
          </w:p>
        </w:tc>
      </w:tr>
      <w:tr w:rsidR="00122981" w14:paraId="4D4DDD38" w14:textId="77777777" w:rsidTr="000F49AD">
        <w:trPr>
          <w:trHeight w:val="645"/>
        </w:trPr>
        <w:tc>
          <w:tcPr>
            <w:tcW w:w="1905" w:type="dxa"/>
            <w:shd w:val="clear" w:color="auto" w:fill="E5DFEC" w:themeFill="accent4" w:themeFillTint="33"/>
            <w:vAlign w:val="center"/>
          </w:tcPr>
          <w:p w14:paraId="55022717" w14:textId="48238891" w:rsidR="00122981" w:rsidRDefault="00122981" w:rsidP="00122981">
            <w:pPr>
              <w:tabs>
                <w:tab w:val="left" w:pos="1307"/>
              </w:tabs>
              <w:jc w:val="center"/>
            </w:pPr>
            <w:r>
              <w:t>Développement de concept d’investissement</w:t>
            </w:r>
          </w:p>
        </w:tc>
        <w:tc>
          <w:tcPr>
            <w:tcW w:w="2535" w:type="dxa"/>
            <w:shd w:val="clear" w:color="auto" w:fill="E5DFEC" w:themeFill="accent4" w:themeFillTint="33"/>
            <w:vAlign w:val="center"/>
          </w:tcPr>
          <w:p w14:paraId="4EA28DF9" w14:textId="284B9A72" w:rsidR="00122981" w:rsidRDefault="00122981" w:rsidP="00122981">
            <w:pPr>
              <w:tabs>
                <w:tab w:val="left" w:pos="1307"/>
              </w:tabs>
              <w:jc w:val="center"/>
            </w:pPr>
            <w:r>
              <w:t>Subvention fixe de 60 000€</w:t>
            </w:r>
          </w:p>
        </w:tc>
        <w:tc>
          <w:tcPr>
            <w:tcW w:w="2974" w:type="dxa"/>
            <w:shd w:val="clear" w:color="auto" w:fill="E5DFEC" w:themeFill="accent4" w:themeFillTint="33"/>
            <w:vAlign w:val="center"/>
          </w:tcPr>
          <w:p w14:paraId="4D2D6385" w14:textId="057D2C42" w:rsidR="00122981" w:rsidRDefault="00122981" w:rsidP="00122981">
            <w:pPr>
              <w:tabs>
                <w:tab w:val="left" w:pos="1307"/>
              </w:tabs>
              <w:jc w:val="center"/>
            </w:pPr>
            <w:r>
              <w:t>Appels à projet</w:t>
            </w:r>
          </w:p>
        </w:tc>
        <w:tc>
          <w:tcPr>
            <w:tcW w:w="2338" w:type="dxa"/>
            <w:shd w:val="clear" w:color="auto" w:fill="E5DFEC" w:themeFill="accent4" w:themeFillTint="33"/>
            <w:vAlign w:val="center"/>
          </w:tcPr>
          <w:p w14:paraId="614FCBE4" w14:textId="27C49796" w:rsidR="00122981" w:rsidRDefault="00122981" w:rsidP="00122981">
            <w:pPr>
              <w:tabs>
                <w:tab w:val="left" w:pos="1307"/>
              </w:tabs>
              <w:jc w:val="center"/>
            </w:pPr>
            <w:r>
              <w:t>Jusqu’à 36 mois (développement et mise en œuvre du concept)</w:t>
            </w:r>
          </w:p>
        </w:tc>
      </w:tr>
    </w:tbl>
    <w:p w14:paraId="2B2433B1" w14:textId="048A3EE4" w:rsidR="00932D39" w:rsidRDefault="00932D39">
      <w:pPr>
        <w:pBdr>
          <w:top w:val="nil"/>
          <w:left w:val="nil"/>
          <w:bottom w:val="nil"/>
          <w:right w:val="nil"/>
          <w:between w:val="nil"/>
        </w:pBdr>
      </w:pPr>
    </w:p>
    <w:p w14:paraId="2327D4B1" w14:textId="65C70C88" w:rsidR="00EF0E12" w:rsidRPr="00EF0E12" w:rsidRDefault="00EF0E12" w:rsidP="00EF0E12">
      <w:pPr>
        <w:pBdr>
          <w:top w:val="nil"/>
          <w:left w:val="nil"/>
          <w:bottom w:val="nil"/>
          <w:right w:val="nil"/>
          <w:between w:val="nil"/>
        </w:pBdr>
        <w:jc w:val="both"/>
      </w:pPr>
      <w:r w:rsidRPr="00EF0E12">
        <w:t xml:space="preserve">Cette initiative européenne </w:t>
      </w:r>
      <w:r w:rsidR="00DB60C1">
        <w:t>vise</w:t>
      </w:r>
      <w:r w:rsidR="00DB60C1" w:rsidRPr="00EF0E12">
        <w:t xml:space="preserve"> </w:t>
      </w:r>
      <w:r w:rsidRPr="00EF0E12">
        <w:t xml:space="preserve">à financer des </w:t>
      </w:r>
      <w:r w:rsidRPr="00951B6C">
        <w:rPr>
          <w:b/>
          <w:bCs/>
        </w:rPr>
        <w:t>concepts d’investissement</w:t>
      </w:r>
      <w:r w:rsidRPr="00EF0E12">
        <w:t xml:space="preserve"> </w:t>
      </w:r>
      <w:r>
        <w:t xml:space="preserve">de municipalités/intercommunalités </w:t>
      </w:r>
      <w:r w:rsidRPr="00EF0E12">
        <w:t xml:space="preserve">permettant de mobiliser des financements </w:t>
      </w:r>
      <w:r w:rsidRPr="00951B6C">
        <w:rPr>
          <w:b/>
          <w:bCs/>
        </w:rPr>
        <w:t>pour la mise en œuvre de plan</w:t>
      </w:r>
      <w:r w:rsidR="00DB60C1" w:rsidRPr="00951B6C">
        <w:rPr>
          <w:b/>
          <w:bCs/>
        </w:rPr>
        <w:t>s</w:t>
      </w:r>
      <w:r w:rsidRPr="00951B6C">
        <w:rPr>
          <w:b/>
          <w:bCs/>
        </w:rPr>
        <w:t xml:space="preserve"> d’action énergie/climat, grâce à l’octroi de subventions d’un montant fixe de 60 000€ et à un appui technique</w:t>
      </w:r>
      <w:r w:rsidRPr="00EF0E12">
        <w:t>. Elle vise avant tout les petites et moyennes collectivités qui n’ont pas forcément les ressources en interne pour développer de tels concepts mais n’exclut pas les collectivités plus importantes (d’abord exclues, les intercommunalités sont dorénavant éligibles). Si le taux de sélectivité était faible lors du premier appel (16%), celui-ci devrait augmenter lors du second appel car deux fois</w:t>
      </w:r>
      <w:r>
        <w:t xml:space="preserve"> plus</w:t>
      </w:r>
      <w:r w:rsidRPr="00EF0E12">
        <w:t xml:space="preserve"> de projets seront sélectionnés. Si très peu de candidatures ont été présentées au nom d’un consortium lors du premier appel, cela est pourtant valorisé lors de l’évaluation des candidatures.</w:t>
      </w:r>
    </w:p>
    <w:p w14:paraId="5D93A769" w14:textId="77777777" w:rsidR="00A04130" w:rsidRDefault="00A04130">
      <w:pPr>
        <w:pBdr>
          <w:top w:val="nil"/>
          <w:left w:val="nil"/>
          <w:bottom w:val="nil"/>
          <w:right w:val="nil"/>
          <w:between w:val="nil"/>
        </w:pBdr>
      </w:pPr>
    </w:p>
    <w:p w14:paraId="0173EA5C" w14:textId="1EE636CF" w:rsidR="00932D39" w:rsidRDefault="00932D39" w:rsidP="00932D39">
      <w:pPr>
        <w:pStyle w:val="EnvTitreparagraphe"/>
        <w:numPr>
          <w:ilvl w:val="0"/>
          <w:numId w:val="8"/>
        </w:numPr>
        <w:spacing w:before="0"/>
        <w:rPr>
          <w:sz w:val="24"/>
          <w:szCs w:val="24"/>
        </w:rPr>
      </w:pPr>
      <w:r>
        <w:rPr>
          <w:sz w:val="24"/>
          <w:szCs w:val="24"/>
        </w:rPr>
        <w:t>Domaines stratégiques pour le Grand Est touchés par le programme</w:t>
      </w:r>
    </w:p>
    <w:p w14:paraId="4F28B0B7" w14:textId="48F2BF5A" w:rsidR="00526DD4" w:rsidRPr="006601E0" w:rsidRDefault="00526DD4" w:rsidP="00951B6C">
      <w:pPr>
        <w:pBdr>
          <w:top w:val="nil"/>
          <w:left w:val="nil"/>
          <w:bottom w:val="nil"/>
          <w:right w:val="nil"/>
          <w:between w:val="nil"/>
        </w:pBdr>
        <w:spacing w:after="120"/>
        <w:jc w:val="both"/>
        <w:rPr>
          <w:color w:val="000000"/>
        </w:rPr>
      </w:pPr>
      <w:r w:rsidRPr="006601E0">
        <w:rPr>
          <w:color w:val="000000"/>
        </w:rPr>
        <w:t xml:space="preserve">La transition énergétique est le premier objectif du SRADDET du Grand Est, à savoir « Devenir une région à énergie positive et bas-carbone à horizon 2050 ». </w:t>
      </w:r>
      <w:r w:rsidR="00DB60C1">
        <w:rPr>
          <w:color w:val="000000"/>
        </w:rPr>
        <w:t>Parmi les</w:t>
      </w:r>
      <w:r w:rsidRPr="006601E0">
        <w:rPr>
          <w:color w:val="000000"/>
        </w:rPr>
        <w:t xml:space="preserve"> enjeux de cette transition</w:t>
      </w:r>
      <w:r w:rsidR="00DB60C1">
        <w:rPr>
          <w:color w:val="000000"/>
        </w:rPr>
        <w:t xml:space="preserve"> figurent</w:t>
      </w:r>
      <w:r w:rsidRPr="006601E0">
        <w:rPr>
          <w:color w:val="000000"/>
        </w:rPr>
        <w:t xml:space="preserve"> le développement d’écosystèmes énergétiques territoriaux complets, comme cela est par exemple le cas sur certaines agglomérations du Grand Est, en stimulant simultanément les dispositifs d’offre et de demande d’énergie renouvelable</w:t>
      </w:r>
      <w:r w:rsidR="00DB60C1">
        <w:rPr>
          <w:color w:val="000000"/>
        </w:rPr>
        <w:t>, ou encore l’émergence de communautés énergétiques citoyennes.</w:t>
      </w:r>
    </w:p>
    <w:p w14:paraId="00D160F2" w14:textId="5FC95A64" w:rsidR="00526DD4" w:rsidRDefault="00526DD4" w:rsidP="00951B6C">
      <w:pPr>
        <w:pBdr>
          <w:top w:val="nil"/>
          <w:left w:val="nil"/>
          <w:bottom w:val="nil"/>
          <w:right w:val="nil"/>
          <w:between w:val="nil"/>
        </w:pBdr>
        <w:spacing w:after="120"/>
        <w:jc w:val="both"/>
      </w:pPr>
      <w:r w:rsidRPr="006601E0">
        <w:rPr>
          <w:color w:val="000000"/>
        </w:rPr>
        <w:t xml:space="preserve">Le programme European City Facility (EUCF) vise à appuyer les autorités locales dans le développement de leur plan d’investissement </w:t>
      </w:r>
      <w:r w:rsidR="004243CA">
        <w:rPr>
          <w:color w:val="000000"/>
        </w:rPr>
        <w:t>en lien avec le climat et l’énergie</w:t>
      </w:r>
      <w:r w:rsidRPr="006601E0">
        <w:rPr>
          <w:color w:val="000000"/>
        </w:rPr>
        <w:t xml:space="preserve"> et semble donc approprié pour soutenir et faire émerger ces dynamiques territoriales.</w:t>
      </w:r>
    </w:p>
    <w:p w14:paraId="252D9FF5" w14:textId="77777777" w:rsidR="0099682C" w:rsidRDefault="0099682C">
      <w:pPr>
        <w:rPr>
          <w:rFonts w:eastAsia="Times New Roman" w:cs="Times New Roman"/>
          <w:b/>
          <w:color w:val="403152"/>
          <w:sz w:val="24"/>
          <w:szCs w:val="24"/>
        </w:rPr>
      </w:pPr>
      <w:r>
        <w:rPr>
          <w:sz w:val="24"/>
          <w:szCs w:val="24"/>
        </w:rPr>
        <w:br w:type="page"/>
      </w:r>
    </w:p>
    <w:p w14:paraId="14484A49" w14:textId="4BD428CA" w:rsidR="00932D39" w:rsidRDefault="00932D39" w:rsidP="00932D39">
      <w:pPr>
        <w:pStyle w:val="EnvTitreparagraphe"/>
        <w:numPr>
          <w:ilvl w:val="0"/>
          <w:numId w:val="8"/>
        </w:numPr>
        <w:rPr>
          <w:sz w:val="24"/>
          <w:szCs w:val="24"/>
        </w:rPr>
      </w:pPr>
      <w:r>
        <w:rPr>
          <w:sz w:val="24"/>
          <w:szCs w:val="24"/>
        </w:rPr>
        <w:lastRenderedPageBreak/>
        <w:t>Description du programme</w:t>
      </w:r>
    </w:p>
    <w:p w14:paraId="00000017" w14:textId="77777777" w:rsidR="00CC781C" w:rsidRDefault="009F1C7A" w:rsidP="00C82796">
      <w:pPr>
        <w:pStyle w:val="Titre1"/>
        <w:spacing w:before="240"/>
        <w:ind w:left="357" w:firstLine="357"/>
      </w:pPr>
      <w:sdt>
        <w:sdtPr>
          <w:tag w:val="goog_rdk_5"/>
          <w:id w:val="-1889330677"/>
        </w:sdtPr>
        <w:sdtEndPr/>
        <w:sdtContent/>
      </w:sdt>
      <w:r w:rsidR="008F7158">
        <w:t>Présentation générale</w:t>
      </w:r>
    </w:p>
    <w:p w14:paraId="00000018" w14:textId="77777777" w:rsidR="00CC781C" w:rsidRDefault="00CC781C"/>
    <w:p w14:paraId="5F0F10FF" w14:textId="46193505" w:rsidR="00122981" w:rsidRDefault="00526DD4" w:rsidP="00122981">
      <w:pPr>
        <w:spacing w:after="120"/>
        <w:jc w:val="both"/>
      </w:pPr>
      <w:r w:rsidRPr="00526DD4">
        <w:t xml:space="preserve">Lancée en février 2020 pour une durée de 4 ans, l’EU City Facility </w:t>
      </w:r>
      <w:r w:rsidR="00AB0DEF">
        <w:t xml:space="preserve">(ou Facilité européenne pour les villes) </w:t>
      </w:r>
      <w:r w:rsidRPr="00526DD4">
        <w:t xml:space="preserve">– EUCF – est une initiative de la Commission européenne coordonné par </w:t>
      </w:r>
      <w:hyperlink r:id="rId9" w:history="1">
        <w:r w:rsidRPr="00DB60C1">
          <w:rPr>
            <w:rStyle w:val="Lienhypertexte"/>
          </w:rPr>
          <w:t>Energy Cities</w:t>
        </w:r>
      </w:hyperlink>
      <w:r w:rsidRPr="00526DD4">
        <w:t xml:space="preserve"> et soutenu par le programme Horizon 2020. Son objectif principal est </w:t>
      </w:r>
      <w:r w:rsidRPr="00951B6C">
        <w:rPr>
          <w:b/>
          <w:bCs/>
        </w:rPr>
        <w:t xml:space="preserve">d’aider les municipalités et les autorités locales à élaborer des « concepts d'investissement » </w:t>
      </w:r>
      <w:r w:rsidRPr="00BE0771">
        <w:t>liés à la mise en œuvre d’actions identifiées dans leurs</w:t>
      </w:r>
      <w:r w:rsidRPr="00951B6C">
        <w:rPr>
          <w:b/>
          <w:bCs/>
        </w:rPr>
        <w:t xml:space="preserve"> plans d'action en matière de climat et d'énergie</w:t>
      </w:r>
      <w:r w:rsidRPr="00BE0771">
        <w:t>,</w:t>
      </w:r>
      <w:r w:rsidRPr="00951B6C">
        <w:rPr>
          <w:b/>
          <w:bCs/>
        </w:rPr>
        <w:t xml:space="preserve"> </w:t>
      </w:r>
      <w:r w:rsidRPr="00BE0771">
        <w:t>en leur attribuant une</w:t>
      </w:r>
      <w:r w:rsidRPr="00951B6C">
        <w:rPr>
          <w:b/>
          <w:bCs/>
        </w:rPr>
        <w:t xml:space="preserve"> subvention d’un montant fixe de 60 000€</w:t>
      </w:r>
      <w:r w:rsidR="00B72C9E" w:rsidRPr="00951B6C">
        <w:rPr>
          <w:b/>
          <w:bCs/>
        </w:rPr>
        <w:t xml:space="preserve"> et en les accompagnant techniquement</w:t>
      </w:r>
      <w:r w:rsidRPr="00951B6C">
        <w:rPr>
          <w:b/>
          <w:bCs/>
        </w:rPr>
        <w:t>.</w:t>
      </w:r>
      <w:r w:rsidRPr="00526DD4">
        <w:t xml:space="preserve"> Doté d’un budget de 18 millions d’euros, cette initiative sera mise en œuvre au travers de </w:t>
      </w:r>
      <w:r w:rsidR="00122981" w:rsidRPr="00951B6C">
        <w:rPr>
          <w:b/>
          <w:bCs/>
        </w:rPr>
        <w:t>quatre</w:t>
      </w:r>
      <w:r w:rsidRPr="00951B6C">
        <w:rPr>
          <w:b/>
          <w:bCs/>
        </w:rPr>
        <w:t xml:space="preserve"> appels à projets lancés entre 2020 et 2022</w:t>
      </w:r>
      <w:r>
        <w:t>.</w:t>
      </w:r>
    </w:p>
    <w:p w14:paraId="0DC66089" w14:textId="1CB9AF94" w:rsidR="00122981" w:rsidRDefault="00122981" w:rsidP="00122981">
      <w:pPr>
        <w:spacing w:after="120"/>
        <w:jc w:val="both"/>
      </w:pPr>
      <w:r w:rsidRPr="00122981">
        <w:t xml:space="preserve">Un </w:t>
      </w:r>
      <w:r w:rsidRPr="00951B6C">
        <w:rPr>
          <w:b/>
          <w:bCs/>
        </w:rPr>
        <w:t>concept d'investissement</w:t>
      </w:r>
      <w:r w:rsidRPr="00122981">
        <w:t xml:space="preserve"> est un document qui traduit une idée de projet d'investissement en langage financier afin de mobiliser des fonds pour sa réalisation. Il vise à fournir aux investisseurs et aux institutions financières les informations préliminaires nécessaires pour évaluer un projet d'investissement de manière simple et rapide.</w:t>
      </w:r>
      <w:r>
        <w:t xml:space="preserve"> Ce document comprend entre autres une description du projet, de ses promoteurs et parties prenantes, une analyse juridique, une analyse économique et financière ainsi qu’une feuille de route d’investissement.</w:t>
      </w:r>
    </w:p>
    <w:p w14:paraId="219C016E" w14:textId="1280D1CC" w:rsidR="00C26979" w:rsidRDefault="00B72C9E" w:rsidP="00AB0DEF">
      <w:pPr>
        <w:spacing w:after="120"/>
        <w:jc w:val="both"/>
      </w:pPr>
      <w:r>
        <w:t xml:space="preserve">Au-delà du support financier, cette initiative vise à apporter une aide technique et juridique afin de permettre une </w:t>
      </w:r>
      <w:r w:rsidRPr="00951B6C">
        <w:rPr>
          <w:b/>
          <w:bCs/>
        </w:rPr>
        <w:t xml:space="preserve">montée en compétence et ainsi dépasser les barrières actuelles </w:t>
      </w:r>
      <w:r>
        <w:t>(notamment pour les petites et moyennes collectivités territoriales) à l’élaboration de concepts d’investissement crédibles et à la mobilisation d’acteurs financiers. L’accent est également porté dans ce programme sur le partage de bonnes pratiques et la diffusion de ces concepts d’investissement à travers toute l’Europe.</w:t>
      </w:r>
    </w:p>
    <w:p w14:paraId="72FD4D7B" w14:textId="282E8686" w:rsidR="00AB0DEF" w:rsidRDefault="00AB0DEF" w:rsidP="00B72C9E">
      <w:pPr>
        <w:jc w:val="both"/>
      </w:pPr>
      <w:r>
        <w:t>Ses objectifs généraux sont donc de :</w:t>
      </w:r>
    </w:p>
    <w:p w14:paraId="1BEB9A93" w14:textId="2299C5BB" w:rsidR="00AB0DEF" w:rsidRDefault="00AB0DEF" w:rsidP="00AB0DEF">
      <w:pPr>
        <w:pStyle w:val="Paragraphedeliste"/>
        <w:numPr>
          <w:ilvl w:val="0"/>
          <w:numId w:val="13"/>
        </w:numPr>
        <w:jc w:val="both"/>
      </w:pPr>
      <w:r>
        <w:t>Fournir une expertise technique, juridique et financière</w:t>
      </w:r>
    </w:p>
    <w:p w14:paraId="00434C96" w14:textId="0C9EDA85" w:rsidR="00AB0DEF" w:rsidRDefault="00AB0DEF" w:rsidP="00AB0DEF">
      <w:pPr>
        <w:pStyle w:val="Paragraphedeliste"/>
        <w:numPr>
          <w:ilvl w:val="0"/>
          <w:numId w:val="13"/>
        </w:numPr>
        <w:jc w:val="both"/>
      </w:pPr>
      <w:r>
        <w:t>Produire au moins 200 « concepts d’investissement »</w:t>
      </w:r>
    </w:p>
    <w:p w14:paraId="4531C914" w14:textId="57C7FFD2" w:rsidR="00AB0DEF" w:rsidRDefault="00AB0DEF" w:rsidP="00AB0DEF">
      <w:pPr>
        <w:pStyle w:val="Paragraphedeliste"/>
        <w:numPr>
          <w:ilvl w:val="0"/>
          <w:numId w:val="13"/>
        </w:numPr>
        <w:jc w:val="both"/>
      </w:pPr>
      <w:r>
        <w:t>Développer la capacité d’au moins 400 agents de collectivités territoriales</w:t>
      </w:r>
    </w:p>
    <w:p w14:paraId="1F0710FD" w14:textId="7A3C6795" w:rsidR="00AB0DEF" w:rsidRDefault="00AB0DEF" w:rsidP="00AB0DEF">
      <w:pPr>
        <w:pStyle w:val="Paragraphedeliste"/>
        <w:numPr>
          <w:ilvl w:val="0"/>
          <w:numId w:val="13"/>
        </w:numPr>
        <w:jc w:val="both"/>
      </w:pPr>
      <w:r>
        <w:t>Faciliter l’accès aux financements privés, européens et aux services de conseil</w:t>
      </w:r>
    </w:p>
    <w:p w14:paraId="7A5EC04D" w14:textId="46B31077" w:rsidR="00AB0DEF" w:rsidRDefault="00AB0DEF" w:rsidP="00AB0DEF">
      <w:pPr>
        <w:pStyle w:val="Paragraphedeliste"/>
        <w:numPr>
          <w:ilvl w:val="0"/>
          <w:numId w:val="13"/>
        </w:numPr>
        <w:jc w:val="both"/>
      </w:pPr>
      <w:r>
        <w:t xml:space="preserve">Toucher plus de 10 000 villes, municipalités </w:t>
      </w:r>
      <w:r w:rsidRPr="00AB0DEF">
        <w:rPr>
          <w:i/>
          <w:iCs/>
        </w:rPr>
        <w:t>via</w:t>
      </w:r>
      <w:r>
        <w:t xml:space="preserve"> la réplication</w:t>
      </w:r>
    </w:p>
    <w:p w14:paraId="0000001C" w14:textId="77777777" w:rsidR="00CC781C" w:rsidRDefault="008F7158" w:rsidP="00C82796">
      <w:pPr>
        <w:pStyle w:val="Titre1"/>
        <w:spacing w:before="240"/>
        <w:ind w:left="357" w:firstLine="357"/>
      </w:pPr>
      <w:r>
        <w:t>Types de projets éligibles</w:t>
      </w:r>
    </w:p>
    <w:p w14:paraId="0000001D" w14:textId="77777777" w:rsidR="00CC781C" w:rsidRDefault="00CC781C">
      <w:pPr>
        <w:tabs>
          <w:tab w:val="left" w:pos="1307"/>
        </w:tabs>
        <w:jc w:val="both"/>
      </w:pPr>
    </w:p>
    <w:p w14:paraId="113068D4" w14:textId="77777777" w:rsidR="00863CB4" w:rsidRPr="00CA778D" w:rsidRDefault="00863CB4" w:rsidP="00C82796">
      <w:pPr>
        <w:pStyle w:val="Titre2"/>
        <w:spacing w:before="0"/>
        <w:ind w:left="1077" w:hanging="510"/>
      </w:pPr>
      <w:r>
        <w:t>Quel projet ?</w:t>
      </w:r>
    </w:p>
    <w:p w14:paraId="0000001F" w14:textId="7CA1CD12" w:rsidR="00CC781C" w:rsidRDefault="008F7158" w:rsidP="00C82796">
      <w:pPr>
        <w:numPr>
          <w:ilvl w:val="1"/>
          <w:numId w:val="1"/>
        </w:numPr>
        <w:pBdr>
          <w:top w:val="nil"/>
          <w:left w:val="nil"/>
          <w:bottom w:val="nil"/>
          <w:right w:val="nil"/>
          <w:between w:val="nil"/>
        </w:pBdr>
        <w:tabs>
          <w:tab w:val="left" w:pos="1307"/>
        </w:tabs>
        <w:jc w:val="both"/>
      </w:pPr>
      <w:r w:rsidRPr="00C82796">
        <w:rPr>
          <w:color w:val="000000"/>
          <w:u w:val="single"/>
        </w:rPr>
        <w:t>Volume budgétaire par projet</w:t>
      </w:r>
      <w:r w:rsidR="00450D47" w:rsidRPr="00C82796">
        <w:rPr>
          <w:color w:val="000000"/>
          <w:u w:val="single"/>
        </w:rPr>
        <w:t> :</w:t>
      </w:r>
      <w:r w:rsidR="00450D47">
        <w:rPr>
          <w:color w:val="000000"/>
        </w:rPr>
        <w:t xml:space="preserve"> subvention d’un montant fixe de 60 000€</w:t>
      </w:r>
    </w:p>
    <w:p w14:paraId="00000020" w14:textId="6D6489F8" w:rsidR="00CC781C" w:rsidRDefault="008F7158" w:rsidP="00C82796">
      <w:pPr>
        <w:numPr>
          <w:ilvl w:val="1"/>
          <w:numId w:val="1"/>
        </w:numPr>
        <w:pBdr>
          <w:top w:val="nil"/>
          <w:left w:val="nil"/>
          <w:bottom w:val="nil"/>
          <w:right w:val="nil"/>
          <w:between w:val="nil"/>
        </w:pBdr>
        <w:tabs>
          <w:tab w:val="left" w:pos="1307"/>
        </w:tabs>
        <w:jc w:val="both"/>
      </w:pPr>
      <w:r w:rsidRPr="00C82796">
        <w:rPr>
          <w:color w:val="000000"/>
          <w:u w:val="single"/>
        </w:rPr>
        <w:t>Durée des projets</w:t>
      </w:r>
      <w:r w:rsidR="00450D47" w:rsidRPr="00C82796">
        <w:rPr>
          <w:color w:val="000000"/>
          <w:u w:val="single"/>
        </w:rPr>
        <w:t> :</w:t>
      </w:r>
      <w:r w:rsidR="00450D47">
        <w:rPr>
          <w:color w:val="000000"/>
        </w:rPr>
        <w:t xml:space="preserve"> </w:t>
      </w:r>
      <w:r w:rsidR="00B72C9E">
        <w:rPr>
          <w:color w:val="000000"/>
        </w:rPr>
        <w:t>36 mois à partir de la signature de la convention de subvention</w:t>
      </w:r>
      <w:r w:rsidR="007E7975">
        <w:rPr>
          <w:color w:val="000000"/>
        </w:rPr>
        <w:t xml:space="preserve"> (12 mois d’élaboration du concept d’investissement et 24 mois de mise en œuvre après sa validation)</w:t>
      </w:r>
    </w:p>
    <w:p w14:paraId="63731306" w14:textId="0862AD79" w:rsidR="004E2FEF" w:rsidRPr="00C82796" w:rsidRDefault="008F7158" w:rsidP="00C82796">
      <w:pPr>
        <w:numPr>
          <w:ilvl w:val="1"/>
          <w:numId w:val="1"/>
        </w:numPr>
        <w:pBdr>
          <w:top w:val="nil"/>
          <w:left w:val="nil"/>
          <w:bottom w:val="nil"/>
          <w:right w:val="nil"/>
          <w:between w:val="nil"/>
        </w:pBdr>
        <w:tabs>
          <w:tab w:val="left" w:pos="1307"/>
        </w:tabs>
        <w:jc w:val="both"/>
        <w:rPr>
          <w:u w:val="single"/>
        </w:rPr>
      </w:pPr>
      <w:r w:rsidRPr="00C82796">
        <w:rPr>
          <w:color w:val="000000"/>
          <w:u w:val="single"/>
        </w:rPr>
        <w:t xml:space="preserve">Types d’actions </w:t>
      </w:r>
      <w:r w:rsidR="004E2FEF" w:rsidRPr="00C82796">
        <w:rPr>
          <w:color w:val="000000"/>
          <w:u w:val="single"/>
        </w:rPr>
        <w:t>financées</w:t>
      </w:r>
      <w:r w:rsidR="00720AD8" w:rsidRPr="00C82796">
        <w:rPr>
          <w:color w:val="000000"/>
          <w:u w:val="single"/>
        </w:rPr>
        <w:t xml:space="preserve"> : </w:t>
      </w:r>
    </w:p>
    <w:p w14:paraId="1B46E01B" w14:textId="77777777" w:rsidR="00324F8C" w:rsidRDefault="00324F8C" w:rsidP="00324F8C">
      <w:pPr>
        <w:numPr>
          <w:ilvl w:val="2"/>
          <w:numId w:val="1"/>
        </w:numPr>
        <w:pBdr>
          <w:top w:val="nil"/>
          <w:left w:val="nil"/>
          <w:bottom w:val="nil"/>
          <w:right w:val="nil"/>
          <w:between w:val="nil"/>
        </w:pBdr>
        <w:tabs>
          <w:tab w:val="left" w:pos="1307"/>
        </w:tabs>
        <w:jc w:val="both"/>
      </w:pPr>
      <w:r>
        <w:t xml:space="preserve">les études de faisabilité (techniques), </w:t>
      </w:r>
    </w:p>
    <w:p w14:paraId="09103312" w14:textId="77777777" w:rsidR="00324F8C" w:rsidRDefault="00324F8C" w:rsidP="00324F8C">
      <w:pPr>
        <w:numPr>
          <w:ilvl w:val="2"/>
          <w:numId w:val="1"/>
        </w:numPr>
        <w:pBdr>
          <w:top w:val="nil"/>
          <w:left w:val="nil"/>
          <w:bottom w:val="nil"/>
          <w:right w:val="nil"/>
          <w:between w:val="nil"/>
        </w:pBdr>
        <w:tabs>
          <w:tab w:val="left" w:pos="1307"/>
        </w:tabs>
        <w:jc w:val="both"/>
      </w:pPr>
      <w:r>
        <w:t xml:space="preserve">les analyses de marché, </w:t>
      </w:r>
    </w:p>
    <w:p w14:paraId="4D83E30D" w14:textId="77777777" w:rsidR="00324F8C" w:rsidRDefault="00324F8C" w:rsidP="00324F8C">
      <w:pPr>
        <w:numPr>
          <w:ilvl w:val="2"/>
          <w:numId w:val="1"/>
        </w:numPr>
        <w:pBdr>
          <w:top w:val="nil"/>
          <w:left w:val="nil"/>
          <w:bottom w:val="nil"/>
          <w:right w:val="nil"/>
          <w:between w:val="nil"/>
        </w:pBdr>
        <w:tabs>
          <w:tab w:val="left" w:pos="1307"/>
        </w:tabs>
        <w:jc w:val="both"/>
      </w:pPr>
      <w:r>
        <w:t xml:space="preserve">les analyses des parties prenantes, </w:t>
      </w:r>
    </w:p>
    <w:p w14:paraId="57AA3553" w14:textId="77777777" w:rsidR="00324F8C" w:rsidRDefault="00324F8C" w:rsidP="00324F8C">
      <w:pPr>
        <w:numPr>
          <w:ilvl w:val="2"/>
          <w:numId w:val="1"/>
        </w:numPr>
        <w:pBdr>
          <w:top w:val="nil"/>
          <w:left w:val="nil"/>
          <w:bottom w:val="nil"/>
          <w:right w:val="nil"/>
          <w:between w:val="nil"/>
        </w:pBdr>
        <w:tabs>
          <w:tab w:val="left" w:pos="1307"/>
        </w:tabs>
        <w:jc w:val="both"/>
      </w:pPr>
      <w:r>
        <w:t xml:space="preserve">les analyses juridiques, économiques et financières, </w:t>
      </w:r>
    </w:p>
    <w:p w14:paraId="4CA5A46E" w14:textId="548A7674" w:rsidR="00324F8C" w:rsidRDefault="00324F8C" w:rsidP="00324F8C">
      <w:pPr>
        <w:numPr>
          <w:ilvl w:val="2"/>
          <w:numId w:val="1"/>
        </w:numPr>
        <w:pBdr>
          <w:top w:val="nil"/>
          <w:left w:val="nil"/>
          <w:bottom w:val="nil"/>
          <w:right w:val="nil"/>
          <w:between w:val="nil"/>
        </w:pBdr>
        <w:tabs>
          <w:tab w:val="left" w:pos="1307"/>
        </w:tabs>
        <w:jc w:val="both"/>
      </w:pPr>
      <w:r>
        <w:t>les analyses de risques,</w:t>
      </w:r>
    </w:p>
    <w:p w14:paraId="5EEF2AC3" w14:textId="6698F445" w:rsidR="00324F8C" w:rsidRPr="004E2FEF" w:rsidRDefault="00324F8C" w:rsidP="00324F8C">
      <w:pPr>
        <w:numPr>
          <w:ilvl w:val="2"/>
          <w:numId w:val="1"/>
        </w:numPr>
        <w:pBdr>
          <w:top w:val="nil"/>
          <w:left w:val="nil"/>
          <w:bottom w:val="nil"/>
          <w:right w:val="nil"/>
          <w:between w:val="nil"/>
        </w:pBdr>
        <w:tabs>
          <w:tab w:val="left" w:pos="1307"/>
        </w:tabs>
        <w:jc w:val="both"/>
      </w:pPr>
      <w:r>
        <w:t>etc.</w:t>
      </w:r>
    </w:p>
    <w:p w14:paraId="00000021" w14:textId="78D0A2A7" w:rsidR="00CC781C" w:rsidRDefault="004E2FEF">
      <w:pPr>
        <w:numPr>
          <w:ilvl w:val="1"/>
          <w:numId w:val="1"/>
        </w:numPr>
        <w:pBdr>
          <w:top w:val="nil"/>
          <w:left w:val="nil"/>
          <w:bottom w:val="nil"/>
          <w:right w:val="nil"/>
          <w:between w:val="nil"/>
        </w:pBdr>
        <w:tabs>
          <w:tab w:val="left" w:pos="1307"/>
        </w:tabs>
        <w:jc w:val="both"/>
      </w:pPr>
      <w:r w:rsidRPr="00C82796">
        <w:rPr>
          <w:u w:val="single"/>
        </w:rPr>
        <w:t>Coûts éligibles</w:t>
      </w:r>
      <w:r w:rsidR="00324F8C" w:rsidRPr="00C82796">
        <w:rPr>
          <w:u w:val="single"/>
        </w:rPr>
        <w:t> :</w:t>
      </w:r>
      <w:r w:rsidR="00324F8C" w:rsidRPr="00324F8C">
        <w:t xml:space="preserve"> la subvention peut être utilisé pour </w:t>
      </w:r>
      <w:r w:rsidR="00324F8C">
        <w:t>du</w:t>
      </w:r>
      <w:r w:rsidR="00324F8C" w:rsidRPr="00324F8C">
        <w:t xml:space="preserve"> personnel interne si les capacités internes sont suffisantes, pour des experts externes/sous-traitants ou pour d'autres postes nécessaires au développement du concept d'investissement.</w:t>
      </w:r>
    </w:p>
    <w:p w14:paraId="00000022" w14:textId="6545BD84" w:rsidR="00CC781C" w:rsidRPr="00F17B8E" w:rsidRDefault="00F17B8E">
      <w:pPr>
        <w:numPr>
          <w:ilvl w:val="1"/>
          <w:numId w:val="1"/>
        </w:numPr>
        <w:pBdr>
          <w:top w:val="nil"/>
          <w:left w:val="nil"/>
          <w:bottom w:val="nil"/>
          <w:right w:val="nil"/>
          <w:between w:val="nil"/>
        </w:pBdr>
        <w:tabs>
          <w:tab w:val="left" w:pos="1307"/>
        </w:tabs>
        <w:jc w:val="both"/>
      </w:pPr>
      <w:r>
        <w:t xml:space="preserve">Le </w:t>
      </w:r>
      <w:r w:rsidRPr="00C82796">
        <w:rPr>
          <w:u w:val="single"/>
        </w:rPr>
        <w:t>but principal du projet</w:t>
      </w:r>
      <w:r w:rsidR="00324F8C">
        <w:t xml:space="preserve"> doit</w:t>
      </w:r>
      <w:r>
        <w:t xml:space="preserve"> être d’</w:t>
      </w:r>
      <w:r w:rsidR="00324F8C">
        <w:t xml:space="preserve">élaborer un </w:t>
      </w:r>
      <w:r w:rsidR="00324F8C" w:rsidRPr="00CE7A2E">
        <w:t>concept d'investissement</w:t>
      </w:r>
      <w:r w:rsidR="008F7158">
        <w:rPr>
          <w:color w:val="000000"/>
        </w:rPr>
        <w:t xml:space="preserve"> </w:t>
      </w:r>
      <w:r w:rsidR="00324F8C">
        <w:rPr>
          <w:color w:val="000000"/>
        </w:rPr>
        <w:t>en lien avec le climat et l’énergie</w:t>
      </w:r>
      <w:r>
        <w:rPr>
          <w:color w:val="000000"/>
        </w:rPr>
        <w:t>, par exemple :</w:t>
      </w:r>
    </w:p>
    <w:p w14:paraId="3F846804" w14:textId="0D506EAD" w:rsidR="00F17B8E" w:rsidRDefault="00F17B8E" w:rsidP="00F17B8E">
      <w:pPr>
        <w:numPr>
          <w:ilvl w:val="2"/>
          <w:numId w:val="1"/>
        </w:numPr>
        <w:pBdr>
          <w:top w:val="nil"/>
          <w:left w:val="nil"/>
          <w:bottom w:val="nil"/>
          <w:right w:val="nil"/>
          <w:between w:val="nil"/>
        </w:pBdr>
        <w:tabs>
          <w:tab w:val="left" w:pos="1307"/>
        </w:tabs>
        <w:jc w:val="both"/>
      </w:pPr>
      <w:r w:rsidRPr="00F17B8E">
        <w:t>amélioration de la performance énergétique et à la réalisation d'économies d'énergie</w:t>
      </w:r>
      <w:r>
        <w:t xml:space="preserve"> dans les </w:t>
      </w:r>
      <w:r w:rsidRPr="00F17B8E">
        <w:t>bâtiments publics, résidentiels et tertiaires (non municipaux)</w:t>
      </w:r>
    </w:p>
    <w:p w14:paraId="57D3879B" w14:textId="77777777" w:rsidR="00F17B8E" w:rsidRDefault="00F17B8E" w:rsidP="00F17B8E">
      <w:pPr>
        <w:numPr>
          <w:ilvl w:val="2"/>
          <w:numId w:val="1"/>
        </w:numPr>
        <w:pBdr>
          <w:top w:val="nil"/>
          <w:left w:val="nil"/>
          <w:bottom w:val="nil"/>
          <w:right w:val="nil"/>
          <w:between w:val="nil"/>
        </w:pBdr>
        <w:tabs>
          <w:tab w:val="left" w:pos="1307"/>
        </w:tabs>
        <w:jc w:val="both"/>
      </w:pPr>
      <w:r w:rsidRPr="00F17B8E">
        <w:t xml:space="preserve">améliorations de l'efficacité des équipements/installations, </w:t>
      </w:r>
    </w:p>
    <w:p w14:paraId="2E6F3DBE" w14:textId="77777777" w:rsidR="00F17B8E" w:rsidRDefault="00F17B8E" w:rsidP="00F17B8E">
      <w:pPr>
        <w:numPr>
          <w:ilvl w:val="2"/>
          <w:numId w:val="1"/>
        </w:numPr>
        <w:pBdr>
          <w:top w:val="nil"/>
          <w:left w:val="nil"/>
          <w:bottom w:val="nil"/>
          <w:right w:val="nil"/>
          <w:between w:val="nil"/>
        </w:pBdr>
        <w:tabs>
          <w:tab w:val="left" w:pos="1307"/>
        </w:tabs>
        <w:jc w:val="both"/>
      </w:pPr>
      <w:r w:rsidRPr="00F17B8E">
        <w:lastRenderedPageBreak/>
        <w:t xml:space="preserve">le développement et l'utilisation des énergies renouvelables intégrées aux bâtiments, </w:t>
      </w:r>
    </w:p>
    <w:p w14:paraId="2EDA3737" w14:textId="77777777" w:rsidR="00F17B8E" w:rsidRDefault="00F17B8E" w:rsidP="00F17B8E">
      <w:pPr>
        <w:numPr>
          <w:ilvl w:val="2"/>
          <w:numId w:val="1"/>
        </w:numPr>
        <w:pBdr>
          <w:top w:val="nil"/>
          <w:left w:val="nil"/>
          <w:bottom w:val="nil"/>
          <w:right w:val="nil"/>
          <w:between w:val="nil"/>
        </w:pBdr>
        <w:tabs>
          <w:tab w:val="left" w:pos="1307"/>
        </w:tabs>
        <w:jc w:val="both"/>
      </w:pPr>
      <w:r w:rsidRPr="00F17B8E">
        <w:t xml:space="preserve">la modernisation du chauffage urbain ou le passage aux énergies renouvelables, </w:t>
      </w:r>
    </w:p>
    <w:p w14:paraId="5EBE3A0A" w14:textId="77777777" w:rsidR="00F17B8E" w:rsidRDefault="00F17B8E" w:rsidP="00F17B8E">
      <w:pPr>
        <w:numPr>
          <w:ilvl w:val="2"/>
          <w:numId w:val="1"/>
        </w:numPr>
        <w:pBdr>
          <w:top w:val="nil"/>
          <w:left w:val="nil"/>
          <w:bottom w:val="nil"/>
          <w:right w:val="nil"/>
          <w:between w:val="nil"/>
        </w:pBdr>
        <w:tabs>
          <w:tab w:val="left" w:pos="1307"/>
        </w:tabs>
        <w:jc w:val="both"/>
      </w:pPr>
      <w:r w:rsidRPr="00F17B8E">
        <w:t xml:space="preserve">les réseaux intelligents, </w:t>
      </w:r>
    </w:p>
    <w:p w14:paraId="52F1AF84" w14:textId="42C56F12" w:rsidR="00F17B8E" w:rsidRDefault="00F17B8E" w:rsidP="00F17B8E">
      <w:pPr>
        <w:numPr>
          <w:ilvl w:val="2"/>
          <w:numId w:val="1"/>
        </w:numPr>
        <w:pBdr>
          <w:top w:val="nil"/>
          <w:left w:val="nil"/>
          <w:bottom w:val="nil"/>
          <w:right w:val="nil"/>
          <w:between w:val="nil"/>
        </w:pBdr>
        <w:tabs>
          <w:tab w:val="left" w:pos="1307"/>
        </w:tabs>
        <w:jc w:val="both"/>
      </w:pPr>
      <w:r w:rsidRPr="00F17B8E">
        <w:t>la mobilité urbaine durable (par exemple, les transports publics, les stations de recharge, etc.)</w:t>
      </w:r>
      <w:r>
        <w:t>,</w:t>
      </w:r>
    </w:p>
    <w:p w14:paraId="21188D00" w14:textId="2B42CC6C" w:rsidR="00F17B8E" w:rsidRDefault="00F17B8E" w:rsidP="00F17B8E">
      <w:pPr>
        <w:numPr>
          <w:ilvl w:val="2"/>
          <w:numId w:val="1"/>
        </w:numPr>
        <w:pBdr>
          <w:top w:val="nil"/>
          <w:left w:val="nil"/>
          <w:bottom w:val="nil"/>
          <w:right w:val="nil"/>
          <w:between w:val="nil"/>
        </w:pBdr>
        <w:tabs>
          <w:tab w:val="left" w:pos="1307"/>
        </w:tabs>
        <w:jc w:val="both"/>
      </w:pPr>
      <w:r w:rsidRPr="00F17B8E">
        <w:t>les infrastructures énergétiques innovantes (par exemple, les communautés énergétiques citoyennes, les approches innovantes en matière d'éclairage public, les stations d'épuration des eaux usées, etc.)</w:t>
      </w:r>
      <w:r>
        <w:t>.</w:t>
      </w:r>
    </w:p>
    <w:p w14:paraId="76A60375" w14:textId="77777777" w:rsidR="00B7761F" w:rsidRPr="00C82796" w:rsidRDefault="008F7158">
      <w:pPr>
        <w:numPr>
          <w:ilvl w:val="1"/>
          <w:numId w:val="1"/>
        </w:numPr>
        <w:pBdr>
          <w:top w:val="nil"/>
          <w:left w:val="nil"/>
          <w:bottom w:val="nil"/>
          <w:right w:val="nil"/>
          <w:between w:val="nil"/>
        </w:pBdr>
        <w:tabs>
          <w:tab w:val="left" w:pos="1307"/>
        </w:tabs>
        <w:jc w:val="both"/>
        <w:rPr>
          <w:u w:val="single"/>
        </w:rPr>
      </w:pPr>
      <w:r w:rsidRPr="00C82796">
        <w:rPr>
          <w:color w:val="000000"/>
          <w:u w:val="single"/>
        </w:rPr>
        <w:t>Règles particulières à signaler</w:t>
      </w:r>
      <w:r w:rsidR="00F17B8E" w:rsidRPr="00C82796">
        <w:rPr>
          <w:color w:val="000000"/>
          <w:u w:val="single"/>
        </w:rPr>
        <w:t xml:space="preserve"> : </w:t>
      </w:r>
    </w:p>
    <w:p w14:paraId="7304743D" w14:textId="51C92946" w:rsidR="00B7761F" w:rsidRDefault="00B7761F" w:rsidP="00B7761F">
      <w:pPr>
        <w:numPr>
          <w:ilvl w:val="2"/>
          <w:numId w:val="1"/>
        </w:numPr>
        <w:pBdr>
          <w:top w:val="nil"/>
          <w:left w:val="nil"/>
          <w:bottom w:val="nil"/>
          <w:right w:val="nil"/>
          <w:between w:val="nil"/>
        </w:pBdr>
        <w:tabs>
          <w:tab w:val="left" w:pos="1307"/>
        </w:tabs>
        <w:jc w:val="both"/>
      </w:pPr>
      <w:r>
        <w:t>Il faut obligatoirement que la structure qui candidate annexe le plan en lien avec l’énergie et le climat qu’elle souhaite mettre en œuvre grâce à son concept d’investissement (p</w:t>
      </w:r>
      <w:r w:rsidRPr="00B7761F">
        <w:t>lan d'action pour l'énergie durabl</w:t>
      </w:r>
      <w:r>
        <w:t>e</w:t>
      </w:r>
      <w:r w:rsidRPr="00B7761F">
        <w:t xml:space="preserve">, </w:t>
      </w:r>
      <w:r>
        <w:t>le p</w:t>
      </w:r>
      <w:r w:rsidRPr="00B7761F">
        <w:t>lan d'action pour l'énergie durable et le climat</w:t>
      </w:r>
      <w:r>
        <w:t xml:space="preserve">, </w:t>
      </w:r>
      <w:r w:rsidRPr="00B7761F">
        <w:t xml:space="preserve">ou </w:t>
      </w:r>
      <w:r>
        <w:t xml:space="preserve">tout autre </w:t>
      </w:r>
      <w:r w:rsidRPr="00B7761F">
        <w:t>plan d'ambition similaire</w:t>
      </w:r>
      <w:r>
        <w:t>) et que ce plan soit adopté par l’organe exécutif (maire ou équivalent).</w:t>
      </w:r>
    </w:p>
    <w:p w14:paraId="2D4138AC" w14:textId="5A6C5789" w:rsidR="00B7761F" w:rsidRDefault="00B7761F" w:rsidP="00B7761F">
      <w:pPr>
        <w:numPr>
          <w:ilvl w:val="2"/>
          <w:numId w:val="1"/>
        </w:numPr>
        <w:pBdr>
          <w:top w:val="nil"/>
          <w:left w:val="nil"/>
          <w:bottom w:val="nil"/>
          <w:right w:val="nil"/>
          <w:between w:val="nil"/>
        </w:pBdr>
        <w:tabs>
          <w:tab w:val="left" w:pos="1307"/>
        </w:tabs>
        <w:jc w:val="both"/>
      </w:pPr>
      <w:r>
        <w:t>Il faut également fournir</w:t>
      </w:r>
      <w:r w:rsidRPr="00B7761F">
        <w:t xml:space="preserve"> </w:t>
      </w:r>
      <w:r>
        <w:t>une l</w:t>
      </w:r>
      <w:r w:rsidRPr="00B7761F">
        <w:t>ettre de soutien au projet de la part du maire ou d'un autre représentant politique compétent.</w:t>
      </w:r>
    </w:p>
    <w:p w14:paraId="012B4789" w14:textId="77777777" w:rsidR="00C82796" w:rsidRDefault="00B7761F" w:rsidP="00C82796">
      <w:pPr>
        <w:numPr>
          <w:ilvl w:val="2"/>
          <w:numId w:val="1"/>
        </w:numPr>
        <w:pBdr>
          <w:top w:val="nil"/>
          <w:left w:val="nil"/>
          <w:bottom w:val="nil"/>
          <w:right w:val="nil"/>
          <w:between w:val="nil"/>
        </w:pBdr>
        <w:tabs>
          <w:tab w:val="left" w:pos="1307"/>
        </w:tabs>
        <w:jc w:val="both"/>
      </w:pPr>
      <w:r>
        <w:rPr>
          <w:color w:val="000000"/>
        </w:rPr>
        <w:t xml:space="preserve">Une estimation </w:t>
      </w:r>
      <w:r>
        <w:t xml:space="preserve">des </w:t>
      </w:r>
      <w:r w:rsidRPr="00B7761F">
        <w:t xml:space="preserve">économies d'énergie et/ou </w:t>
      </w:r>
      <w:r>
        <w:t xml:space="preserve">de </w:t>
      </w:r>
      <w:r w:rsidRPr="00B7761F">
        <w:t>la production d'énergie renouvelable</w:t>
      </w:r>
      <w:r>
        <w:t xml:space="preserve"> ainsi que de la taille de l’investissement est à fournir dans le dossier de candidature.</w:t>
      </w:r>
    </w:p>
    <w:p w14:paraId="00000023" w14:textId="105AA9A8" w:rsidR="00CC781C" w:rsidRPr="00B7761F" w:rsidRDefault="00B7761F" w:rsidP="00C82796">
      <w:pPr>
        <w:numPr>
          <w:ilvl w:val="2"/>
          <w:numId w:val="1"/>
        </w:numPr>
        <w:pBdr>
          <w:top w:val="nil"/>
          <w:left w:val="nil"/>
          <w:bottom w:val="nil"/>
          <w:right w:val="nil"/>
          <w:between w:val="nil"/>
        </w:pBdr>
        <w:tabs>
          <w:tab w:val="left" w:pos="1307"/>
        </w:tabs>
        <w:spacing w:after="120"/>
        <w:ind w:left="782" w:hanging="357"/>
        <w:jc w:val="both"/>
      </w:pPr>
      <w:r w:rsidRPr="00C82796">
        <w:rPr>
          <w:color w:val="000000"/>
        </w:rPr>
        <w:t>L</w:t>
      </w:r>
      <w:r w:rsidR="00F17B8E" w:rsidRPr="00C82796">
        <w:rPr>
          <w:color w:val="000000"/>
        </w:rPr>
        <w:t>’EUCF ne soutient pas les investissements dans des projets énergétiques reposant sur des combustibles fossiles.</w:t>
      </w:r>
    </w:p>
    <w:p w14:paraId="00000025" w14:textId="1D60B472" w:rsidR="00CC781C" w:rsidRDefault="009F1C7A" w:rsidP="00863CB4">
      <w:pPr>
        <w:pStyle w:val="Titre2"/>
      </w:pPr>
      <w:sdt>
        <w:sdtPr>
          <w:tag w:val="goog_rdk_7"/>
          <w:id w:val="-1574274848"/>
        </w:sdtPr>
        <w:sdtEndPr/>
        <w:sdtContent/>
      </w:sdt>
      <w:r w:rsidR="00863CB4">
        <w:t>Quel p</w:t>
      </w:r>
      <w:r w:rsidR="008F7158">
        <w:t>artenariat</w:t>
      </w:r>
      <w:r w:rsidR="00863CB4">
        <w:t> ?</w:t>
      </w:r>
    </w:p>
    <w:p w14:paraId="00000026" w14:textId="0EC79441" w:rsidR="00CC781C" w:rsidRDefault="002D2E01">
      <w:pPr>
        <w:numPr>
          <w:ilvl w:val="1"/>
          <w:numId w:val="1"/>
        </w:numPr>
        <w:tabs>
          <w:tab w:val="left" w:pos="1307"/>
        </w:tabs>
        <w:jc w:val="both"/>
      </w:pPr>
      <w:r w:rsidRPr="00951B6C">
        <w:rPr>
          <w:u w:val="single"/>
        </w:rPr>
        <w:t xml:space="preserve">Les candidatures sont individuelles mais </w:t>
      </w:r>
      <w:r w:rsidR="00945078" w:rsidRPr="00951B6C">
        <w:rPr>
          <w:u w:val="single"/>
        </w:rPr>
        <w:t>les groupements sont encouragés</w:t>
      </w:r>
      <w:r w:rsidR="00945078">
        <w:t xml:space="preserve"> (formels ou informels)</w:t>
      </w:r>
      <w:r>
        <w:t>, c’est-à-dire que les candidats sont encouragés à présenter leur candidature individuelle au nom d’un partenariat</w:t>
      </w:r>
      <w:r w:rsidR="00945078">
        <w:t>.</w:t>
      </w:r>
    </w:p>
    <w:p w14:paraId="198F3BE9" w14:textId="23A3B8F0" w:rsidR="00317C85" w:rsidRDefault="00317C85">
      <w:pPr>
        <w:numPr>
          <w:ilvl w:val="1"/>
          <w:numId w:val="1"/>
        </w:numPr>
        <w:tabs>
          <w:tab w:val="left" w:pos="1307"/>
        </w:tabs>
        <w:jc w:val="both"/>
      </w:pPr>
      <w:r>
        <w:t>Lorsqu’une candidature est présentée au nom d’un partenariat, il faut définir un porteur de projet représentant le groupement et seul ce porteur de projet doit fournir un plan d’action ainsi qu’une preuve d’engagement politique.</w:t>
      </w:r>
    </w:p>
    <w:p w14:paraId="36AA7F9F" w14:textId="77777777" w:rsidR="00C82796" w:rsidRDefault="002D2E01" w:rsidP="00C82796">
      <w:pPr>
        <w:numPr>
          <w:ilvl w:val="1"/>
          <w:numId w:val="1"/>
        </w:numPr>
        <w:tabs>
          <w:tab w:val="left" w:pos="1307"/>
        </w:tabs>
        <w:jc w:val="both"/>
      </w:pPr>
      <w:r w:rsidRPr="00951B6C">
        <w:rPr>
          <w:u w:val="single"/>
        </w:rPr>
        <w:t>Porteurs de projets éligibles :</w:t>
      </w:r>
      <w:r>
        <w:t xml:space="preserve"> l</w:t>
      </w:r>
      <w:r w:rsidR="00720AD8">
        <w:t xml:space="preserve">es municipalités et les autorités locales, les groupements de municipalités/autorités locales ainsi que les entités publiques locales regroupant des municipalités/autorités locales </w:t>
      </w:r>
      <w:r>
        <w:t xml:space="preserve">(communauté urbaine, d’agglomération, métropole, etc.) </w:t>
      </w:r>
      <w:r w:rsidR="00720AD8">
        <w:t>situées dans les États membres de l'Union européenne (UE-27), les États de l'EEE/AELE (Islande, Liechtenstein et Norvège) et le Royaume-Uni.</w:t>
      </w:r>
    </w:p>
    <w:p w14:paraId="00000029" w14:textId="484914A9" w:rsidR="00CC781C" w:rsidRDefault="008F7158" w:rsidP="00C82796">
      <w:pPr>
        <w:numPr>
          <w:ilvl w:val="1"/>
          <w:numId w:val="1"/>
        </w:numPr>
        <w:tabs>
          <w:tab w:val="left" w:pos="1307"/>
        </w:tabs>
        <w:spacing w:after="120"/>
        <w:ind w:left="357" w:hanging="357"/>
        <w:jc w:val="both"/>
      </w:pPr>
      <w:r w:rsidRPr="00951B6C">
        <w:rPr>
          <w:u w:val="single"/>
        </w:rPr>
        <w:t>Règles spécifiques</w:t>
      </w:r>
      <w:r w:rsidR="00945078" w:rsidRPr="00951B6C">
        <w:rPr>
          <w:u w:val="single"/>
        </w:rPr>
        <w:t> :</w:t>
      </w:r>
      <w:r w:rsidR="00945078">
        <w:t xml:space="preserve"> </w:t>
      </w:r>
      <w:r w:rsidR="00317C85">
        <w:t>même lorsque qu’une candidature est déposée au nom d’un partenariat,</w:t>
      </w:r>
      <w:r w:rsidR="00945078">
        <w:t xml:space="preserve"> la subvention reste de 60 000€.</w:t>
      </w:r>
    </w:p>
    <w:p w14:paraId="2492E0B5" w14:textId="522EE053" w:rsidR="00863CB4" w:rsidRDefault="00863CB4" w:rsidP="00863CB4">
      <w:pPr>
        <w:pStyle w:val="Titre2"/>
      </w:pPr>
      <w:r>
        <w:t>Le processus de sélection</w:t>
      </w:r>
    </w:p>
    <w:p w14:paraId="217360DC" w14:textId="28EC37B9" w:rsidR="00E63537" w:rsidRPr="00E63537" w:rsidRDefault="00863CB4" w:rsidP="00863CB4">
      <w:pPr>
        <w:pBdr>
          <w:top w:val="nil"/>
          <w:left w:val="nil"/>
          <w:bottom w:val="nil"/>
          <w:right w:val="nil"/>
          <w:between w:val="nil"/>
        </w:pBdr>
        <w:tabs>
          <w:tab w:val="left" w:pos="1307"/>
        </w:tabs>
        <w:spacing w:after="120"/>
        <w:jc w:val="both"/>
      </w:pPr>
      <w:r>
        <w:rPr>
          <w:color w:val="000000"/>
        </w:rPr>
        <w:t xml:space="preserve">Les projets sont choisis au travers de </w:t>
      </w:r>
      <w:r w:rsidR="00E63537">
        <w:rPr>
          <w:color w:val="000000"/>
        </w:rPr>
        <w:t xml:space="preserve">quatre appels à projets sélectifs </w:t>
      </w:r>
      <w:r w:rsidR="00EA37E7">
        <w:rPr>
          <w:color w:val="000000"/>
        </w:rPr>
        <w:t xml:space="preserve">mis en œuvre dans le cadre de trois grandes régions </w:t>
      </w:r>
      <w:r w:rsidR="00E63537">
        <w:rPr>
          <w:color w:val="000000"/>
        </w:rPr>
        <w:t>(</w:t>
      </w:r>
      <w:r w:rsidR="00EA37E7">
        <w:rPr>
          <w:color w:val="000000"/>
        </w:rPr>
        <w:t xml:space="preserve">Nord et </w:t>
      </w:r>
      <w:r w:rsidR="00DB60C1">
        <w:rPr>
          <w:color w:val="000000"/>
        </w:rPr>
        <w:t>O</w:t>
      </w:r>
      <w:r w:rsidR="00EA37E7">
        <w:rPr>
          <w:color w:val="000000"/>
        </w:rPr>
        <w:t>uest</w:t>
      </w:r>
      <w:r w:rsidR="007E7975">
        <w:rPr>
          <w:color w:val="000000"/>
        </w:rPr>
        <w:t>, dans laquelle figure la France ;</w:t>
      </w:r>
      <w:r w:rsidR="00EA37E7">
        <w:rPr>
          <w:color w:val="000000"/>
        </w:rPr>
        <w:t xml:space="preserve"> Europe centrale et Europe de l’</w:t>
      </w:r>
      <w:r w:rsidR="00DB60C1">
        <w:rPr>
          <w:color w:val="000000"/>
        </w:rPr>
        <w:t>E</w:t>
      </w:r>
      <w:r w:rsidR="00EA37E7">
        <w:rPr>
          <w:color w:val="000000"/>
        </w:rPr>
        <w:t>st</w:t>
      </w:r>
      <w:r w:rsidR="007E7975">
        <w:rPr>
          <w:color w:val="000000"/>
        </w:rPr>
        <w:t> :</w:t>
      </w:r>
      <w:r w:rsidR="00EA37E7">
        <w:rPr>
          <w:color w:val="000000"/>
        </w:rPr>
        <w:t xml:space="preserve"> Europe du </w:t>
      </w:r>
      <w:r w:rsidR="00DB60C1">
        <w:rPr>
          <w:color w:val="000000"/>
        </w:rPr>
        <w:t>S</w:t>
      </w:r>
      <w:r w:rsidR="00EA37E7">
        <w:rPr>
          <w:color w:val="000000"/>
        </w:rPr>
        <w:t>ud</w:t>
      </w:r>
      <w:r w:rsidR="00E63537">
        <w:rPr>
          <w:color w:val="000000"/>
        </w:rPr>
        <w:t>)</w:t>
      </w:r>
      <w:r w:rsidR="002B3C56">
        <w:rPr>
          <w:color w:val="000000"/>
        </w:rPr>
        <w:t>.</w:t>
      </w:r>
      <w:r w:rsidR="00FA6B4F">
        <w:rPr>
          <w:color w:val="000000"/>
        </w:rPr>
        <w:t xml:space="preserve"> Les appels à projets concernent toujours ces trois grandes régions.</w:t>
      </w:r>
    </w:p>
    <w:p w14:paraId="0000002A" w14:textId="325604DE" w:rsidR="00CC781C" w:rsidRPr="00C82796" w:rsidRDefault="00E63537" w:rsidP="00C82796">
      <w:pPr>
        <w:numPr>
          <w:ilvl w:val="1"/>
          <w:numId w:val="1"/>
        </w:numPr>
        <w:pBdr>
          <w:top w:val="nil"/>
          <w:left w:val="nil"/>
          <w:bottom w:val="nil"/>
          <w:right w:val="nil"/>
          <w:between w:val="nil"/>
        </w:pBdr>
        <w:tabs>
          <w:tab w:val="left" w:pos="1307"/>
        </w:tabs>
        <w:spacing w:before="120"/>
        <w:jc w:val="both"/>
        <w:rPr>
          <w:u w:val="single"/>
        </w:rPr>
      </w:pPr>
      <w:r w:rsidRPr="00C82796">
        <w:rPr>
          <w:color w:val="000000"/>
          <w:u w:val="single"/>
        </w:rPr>
        <w:t>C</w:t>
      </w:r>
      <w:r w:rsidR="008F7158" w:rsidRPr="00C82796">
        <w:rPr>
          <w:color w:val="000000"/>
          <w:u w:val="single"/>
        </w:rPr>
        <w:t>ritères de sélection</w:t>
      </w:r>
      <w:r w:rsidRPr="00C82796">
        <w:rPr>
          <w:color w:val="000000"/>
          <w:u w:val="single"/>
        </w:rPr>
        <w:t> :</w:t>
      </w:r>
    </w:p>
    <w:p w14:paraId="2DDAF4D1" w14:textId="513A6D0A" w:rsidR="00266DB5" w:rsidRPr="00266DB5" w:rsidRDefault="00266DB5" w:rsidP="00C82796">
      <w:pPr>
        <w:numPr>
          <w:ilvl w:val="2"/>
          <w:numId w:val="1"/>
        </w:numPr>
        <w:pBdr>
          <w:top w:val="nil"/>
          <w:left w:val="nil"/>
          <w:bottom w:val="nil"/>
          <w:right w:val="nil"/>
          <w:between w:val="nil"/>
        </w:pBdr>
        <w:tabs>
          <w:tab w:val="left" w:pos="1307"/>
        </w:tabs>
        <w:jc w:val="both"/>
      </w:pPr>
      <w:r>
        <w:rPr>
          <w:color w:val="000000"/>
        </w:rPr>
        <w:t>Taille de l’investissement</w:t>
      </w:r>
      <w:r w:rsidR="002D09AA">
        <w:rPr>
          <w:color w:val="000000"/>
        </w:rPr>
        <w:t> : niveau d’ambition de la taille de l’investissement prévu au regard des autres candidatures régionales et du contexte local, évaluation du regroupement/mise en commun</w:t>
      </w:r>
    </w:p>
    <w:p w14:paraId="22B2FDD2" w14:textId="26CE3E58" w:rsidR="00266DB5" w:rsidRPr="00266DB5" w:rsidRDefault="00266DB5" w:rsidP="00C82796">
      <w:pPr>
        <w:numPr>
          <w:ilvl w:val="2"/>
          <w:numId w:val="1"/>
        </w:numPr>
        <w:pBdr>
          <w:top w:val="nil"/>
          <w:left w:val="nil"/>
          <w:bottom w:val="nil"/>
          <w:right w:val="nil"/>
          <w:between w:val="nil"/>
        </w:pBdr>
        <w:tabs>
          <w:tab w:val="left" w:pos="1307"/>
        </w:tabs>
        <w:jc w:val="both"/>
      </w:pPr>
      <w:r>
        <w:rPr>
          <w:color w:val="000000"/>
        </w:rPr>
        <w:t>Economies d’énergie</w:t>
      </w:r>
      <w:r w:rsidR="002D09AA">
        <w:rPr>
          <w:color w:val="000000"/>
        </w:rPr>
        <w:t> : niveau d’ambition des économies d’énergie prévues au regard des autres candidatures régionales et du contexte local</w:t>
      </w:r>
    </w:p>
    <w:p w14:paraId="6E4F2380" w14:textId="51D37E94" w:rsidR="00266DB5" w:rsidRPr="00266DB5" w:rsidRDefault="00266DB5" w:rsidP="00C82796">
      <w:pPr>
        <w:numPr>
          <w:ilvl w:val="2"/>
          <w:numId w:val="1"/>
        </w:numPr>
        <w:pBdr>
          <w:top w:val="nil"/>
          <w:left w:val="nil"/>
          <w:bottom w:val="nil"/>
          <w:right w:val="nil"/>
          <w:between w:val="nil"/>
        </w:pBdr>
        <w:tabs>
          <w:tab w:val="left" w:pos="1307"/>
        </w:tabs>
        <w:jc w:val="both"/>
      </w:pPr>
      <w:r>
        <w:rPr>
          <w:color w:val="000000"/>
        </w:rPr>
        <w:t>Gouvernance</w:t>
      </w:r>
      <w:r w:rsidR="002D09AA">
        <w:rPr>
          <w:color w:val="000000"/>
        </w:rPr>
        <w:t> : structure organisationnelle, des rôles et responsabilités clairement définis, processus de prise de décision clair, bonne analyse des capacités en interne ou de la nécessité de faire appel à des experts externes</w:t>
      </w:r>
    </w:p>
    <w:p w14:paraId="783C63A3" w14:textId="23FC80C0" w:rsidR="00266DB5" w:rsidRPr="00266DB5" w:rsidRDefault="00266DB5" w:rsidP="00C82796">
      <w:pPr>
        <w:numPr>
          <w:ilvl w:val="2"/>
          <w:numId w:val="1"/>
        </w:numPr>
        <w:pBdr>
          <w:top w:val="nil"/>
          <w:left w:val="nil"/>
          <w:bottom w:val="nil"/>
          <w:right w:val="nil"/>
          <w:between w:val="nil"/>
        </w:pBdr>
        <w:tabs>
          <w:tab w:val="left" w:pos="1307"/>
        </w:tabs>
        <w:jc w:val="both"/>
      </w:pPr>
      <w:r>
        <w:rPr>
          <w:color w:val="000000"/>
        </w:rPr>
        <w:t>Engagement des parties prenantes</w:t>
      </w:r>
      <w:r w:rsidR="002D09AA">
        <w:rPr>
          <w:color w:val="000000"/>
        </w:rPr>
        <w:t> : bonne identification des parties prenantes importantes, bonne stratégie pour les inclure (activités et instruments de communication</w:t>
      </w:r>
      <w:r w:rsidR="0099114B">
        <w:rPr>
          <w:color w:val="000000"/>
        </w:rPr>
        <w:t>)</w:t>
      </w:r>
    </w:p>
    <w:p w14:paraId="3E24DCFF" w14:textId="77777777" w:rsidR="00317C85" w:rsidRDefault="00266DB5" w:rsidP="00C82796">
      <w:pPr>
        <w:numPr>
          <w:ilvl w:val="2"/>
          <w:numId w:val="1"/>
        </w:numPr>
        <w:pBdr>
          <w:top w:val="nil"/>
          <w:left w:val="nil"/>
          <w:bottom w:val="nil"/>
          <w:right w:val="nil"/>
          <w:between w:val="nil"/>
        </w:pBdr>
        <w:tabs>
          <w:tab w:val="left" w:pos="1307"/>
        </w:tabs>
        <w:jc w:val="both"/>
      </w:pPr>
      <w:r>
        <w:rPr>
          <w:color w:val="000000"/>
        </w:rPr>
        <w:t>Alignement avec les objectifs de l’EUCF :</w:t>
      </w:r>
      <w:r w:rsidR="002D09AA">
        <w:rPr>
          <w:color w:val="000000"/>
        </w:rPr>
        <w:t xml:space="preserve"> alignement avec l’objectif principal de l’EUCF, démonstration du potentiel d’un solide et nouveau concept d’investissement, estimation des impacts additionnels, du caractère innovant et du potentiel pour la réplication du concept</w:t>
      </w:r>
    </w:p>
    <w:p w14:paraId="4FCC5C22" w14:textId="285ACADA" w:rsidR="0099114B" w:rsidRDefault="00317C85" w:rsidP="00654379">
      <w:pPr>
        <w:pBdr>
          <w:top w:val="nil"/>
          <w:left w:val="nil"/>
          <w:bottom w:val="nil"/>
          <w:right w:val="nil"/>
          <w:between w:val="nil"/>
        </w:pBdr>
        <w:tabs>
          <w:tab w:val="left" w:pos="1307"/>
        </w:tabs>
        <w:spacing w:after="120"/>
        <w:jc w:val="both"/>
      </w:pPr>
      <w:r w:rsidRPr="00317C85">
        <w:rPr>
          <w:color w:val="000000"/>
        </w:rPr>
        <w:t>P</w:t>
      </w:r>
      <w:r w:rsidR="0099114B" w:rsidRPr="00317C85">
        <w:rPr>
          <w:color w:val="000000"/>
        </w:rPr>
        <w:t>our chacun de ces critères la cohérence globale et la crédibilité des éléments sera analysée.</w:t>
      </w:r>
    </w:p>
    <w:p w14:paraId="0D36A1B4" w14:textId="6FFC7201" w:rsidR="00EA37E7" w:rsidRDefault="005D2281" w:rsidP="00C82796">
      <w:pPr>
        <w:numPr>
          <w:ilvl w:val="1"/>
          <w:numId w:val="1"/>
        </w:numPr>
        <w:pBdr>
          <w:top w:val="nil"/>
          <w:left w:val="nil"/>
          <w:bottom w:val="nil"/>
          <w:right w:val="nil"/>
          <w:between w:val="nil"/>
        </w:pBdr>
        <w:tabs>
          <w:tab w:val="left" w:pos="1307"/>
        </w:tabs>
        <w:spacing w:after="120"/>
        <w:jc w:val="both"/>
      </w:pPr>
      <w:r w:rsidRPr="005D2281">
        <w:rPr>
          <w:color w:val="000000"/>
        </w:rPr>
        <w:t xml:space="preserve">Un dossier de candidature </w:t>
      </w:r>
      <w:r>
        <w:rPr>
          <w:color w:val="000000"/>
        </w:rPr>
        <w:t>d’une vingtaine de pages à rédiger</w:t>
      </w:r>
      <w:r w:rsidR="00EA37E7" w:rsidRPr="00EA37E7">
        <w:t xml:space="preserve"> en anglais</w:t>
      </w:r>
      <w:r>
        <w:t>.</w:t>
      </w:r>
    </w:p>
    <w:p w14:paraId="624AE437" w14:textId="5B0D0E12" w:rsidR="00F41C0F" w:rsidRDefault="00F41C0F" w:rsidP="00C82796">
      <w:pPr>
        <w:numPr>
          <w:ilvl w:val="1"/>
          <w:numId w:val="1"/>
        </w:numPr>
        <w:pBdr>
          <w:top w:val="nil"/>
          <w:left w:val="nil"/>
          <w:bottom w:val="nil"/>
          <w:right w:val="nil"/>
          <w:between w:val="nil"/>
        </w:pBdr>
        <w:tabs>
          <w:tab w:val="left" w:pos="1307"/>
        </w:tabs>
        <w:jc w:val="both"/>
      </w:pPr>
      <w:r w:rsidRPr="00951B6C">
        <w:rPr>
          <w:u w:val="single"/>
        </w:rPr>
        <w:lastRenderedPageBreak/>
        <w:t>Taux de sélectivité :</w:t>
      </w:r>
      <w:r>
        <w:t xml:space="preserve"> pour la région Nord et Ouest 11 projets retenus sur 67 candidatures lors du premier appel à projet</w:t>
      </w:r>
      <w:r w:rsidR="00BE0771">
        <w:t>s</w:t>
      </w:r>
      <w:r>
        <w:t xml:space="preserve"> (16%) mais </w:t>
      </w:r>
      <w:r w:rsidR="002B3C56">
        <w:t>deux</w:t>
      </w:r>
      <w:r>
        <w:t xml:space="preserve"> fois plus de projets seront retenus au second appel à projet</w:t>
      </w:r>
      <w:r w:rsidR="00BE0771">
        <w:t>s</w:t>
      </w:r>
      <w:r>
        <w:t>.</w:t>
      </w:r>
    </w:p>
    <w:p w14:paraId="0000002E" w14:textId="1E47A56C" w:rsidR="00CC781C" w:rsidRPr="003079CD" w:rsidRDefault="008F7158" w:rsidP="003079CD">
      <w:pPr>
        <w:pStyle w:val="Titre1"/>
        <w:spacing w:after="120"/>
        <w:ind w:left="357" w:firstLine="357"/>
      </w:pPr>
      <w:r>
        <w:t>Dispositions administratives et financières</w:t>
      </w:r>
    </w:p>
    <w:p w14:paraId="00000030" w14:textId="3143AEA6" w:rsidR="00CC781C" w:rsidRDefault="008F7158" w:rsidP="00654379">
      <w:pPr>
        <w:numPr>
          <w:ilvl w:val="0"/>
          <w:numId w:val="1"/>
        </w:numPr>
        <w:pBdr>
          <w:top w:val="nil"/>
          <w:left w:val="nil"/>
          <w:bottom w:val="nil"/>
          <w:right w:val="nil"/>
          <w:between w:val="nil"/>
        </w:pBdr>
        <w:tabs>
          <w:tab w:val="left" w:pos="1307"/>
        </w:tabs>
        <w:spacing w:after="120"/>
        <w:ind w:left="357" w:hanging="357"/>
        <w:jc w:val="both"/>
      </w:pPr>
      <w:r w:rsidRPr="00A70BDE">
        <w:rPr>
          <w:color w:val="000000"/>
          <w:u w:val="single"/>
        </w:rPr>
        <w:t>Calendrier de versement</w:t>
      </w:r>
      <w:r w:rsidR="00E63537" w:rsidRPr="00A70BDE">
        <w:rPr>
          <w:color w:val="000000"/>
          <w:u w:val="single"/>
        </w:rPr>
        <w:t> :</w:t>
      </w:r>
      <w:r w:rsidR="00E63537">
        <w:rPr>
          <w:color w:val="000000"/>
        </w:rPr>
        <w:t xml:space="preserve"> </w:t>
      </w:r>
      <w:r w:rsidR="001D7FC2">
        <w:rPr>
          <w:color w:val="000000"/>
        </w:rPr>
        <w:t>70% à la signature et 30% une fois le concept d’investissement validé</w:t>
      </w:r>
      <w:r w:rsidR="001A0714">
        <w:rPr>
          <w:color w:val="000000"/>
        </w:rPr>
        <w:t>.</w:t>
      </w:r>
    </w:p>
    <w:p w14:paraId="00000031" w14:textId="75C46955" w:rsidR="00CC781C" w:rsidRPr="008A2D1C" w:rsidRDefault="00C55FEA" w:rsidP="00654379">
      <w:pPr>
        <w:numPr>
          <w:ilvl w:val="0"/>
          <w:numId w:val="1"/>
        </w:numPr>
        <w:pBdr>
          <w:top w:val="nil"/>
          <w:left w:val="nil"/>
          <w:bottom w:val="nil"/>
          <w:right w:val="nil"/>
          <w:between w:val="nil"/>
        </w:pBdr>
        <w:tabs>
          <w:tab w:val="left" w:pos="1307"/>
        </w:tabs>
        <w:spacing w:after="120"/>
        <w:ind w:left="357" w:hanging="357"/>
        <w:jc w:val="both"/>
      </w:pPr>
      <w:r w:rsidRPr="00A70BDE">
        <w:rPr>
          <w:color w:val="000000"/>
          <w:u w:val="single"/>
        </w:rPr>
        <w:t>Evaluation du projet :</w:t>
      </w:r>
      <w:r>
        <w:rPr>
          <w:color w:val="000000"/>
        </w:rPr>
        <w:t xml:space="preserve"> l</w:t>
      </w:r>
      <w:r w:rsidRPr="00C55FEA">
        <w:rPr>
          <w:color w:val="000000"/>
        </w:rPr>
        <w:t xml:space="preserve">es bénéficiaires de l'EUCF </w:t>
      </w:r>
      <w:r>
        <w:rPr>
          <w:color w:val="000000"/>
        </w:rPr>
        <w:t>s’engagent</w:t>
      </w:r>
      <w:r w:rsidRPr="00C55FEA">
        <w:rPr>
          <w:color w:val="000000"/>
        </w:rPr>
        <w:t xml:space="preserve"> à respecter une période de suivi de deux ans, au cours de laquelle la mise en œuvre du concept d'investissement est supervisée et documentée. Au cours de cette période, les bénéficiaires sont tenus d'informer l'EUCF </w:t>
      </w:r>
      <w:r>
        <w:rPr>
          <w:color w:val="000000"/>
        </w:rPr>
        <w:t>de la</w:t>
      </w:r>
      <w:r w:rsidRPr="00C55FEA">
        <w:rPr>
          <w:color w:val="000000"/>
        </w:rPr>
        <w:t xml:space="preserve"> mise en œuvre</w:t>
      </w:r>
      <w:r>
        <w:rPr>
          <w:color w:val="000000"/>
        </w:rPr>
        <w:t xml:space="preserve"> du concept</w:t>
      </w:r>
      <w:r w:rsidRPr="00C55FEA">
        <w:rPr>
          <w:color w:val="000000"/>
        </w:rPr>
        <w:t xml:space="preserve"> en soumettant deux formulaires de suivi simples - après un et deux ans</w:t>
      </w:r>
      <w:r>
        <w:rPr>
          <w:color w:val="000000"/>
        </w:rPr>
        <w:t xml:space="preserve"> </w:t>
      </w:r>
      <w:r w:rsidRPr="00C55FEA">
        <w:rPr>
          <w:color w:val="000000"/>
        </w:rPr>
        <w:t>- sur les chiffres clés des résultats et des impacts obtenus par la mise en œuvre du concept d'investissement.</w:t>
      </w:r>
    </w:p>
    <w:p w14:paraId="0B09CB02" w14:textId="3AE70F38" w:rsidR="008A2D1C" w:rsidRDefault="008A2D1C" w:rsidP="00654379">
      <w:pPr>
        <w:numPr>
          <w:ilvl w:val="0"/>
          <w:numId w:val="1"/>
        </w:numPr>
        <w:pBdr>
          <w:top w:val="nil"/>
          <w:left w:val="nil"/>
          <w:bottom w:val="nil"/>
          <w:right w:val="nil"/>
          <w:between w:val="nil"/>
        </w:pBdr>
        <w:tabs>
          <w:tab w:val="left" w:pos="1307"/>
        </w:tabs>
        <w:spacing w:after="120"/>
        <w:ind w:left="357" w:hanging="357"/>
        <w:jc w:val="both"/>
      </w:pPr>
      <w:r w:rsidRPr="00A70BDE">
        <w:rPr>
          <w:color w:val="000000"/>
          <w:u w:val="single"/>
        </w:rPr>
        <w:t>Contrôle :</w:t>
      </w:r>
      <w:r>
        <w:rPr>
          <w:color w:val="000000"/>
        </w:rPr>
        <w:t xml:space="preserve"> l</w:t>
      </w:r>
      <w:r w:rsidRPr="008A2D1C">
        <w:rPr>
          <w:color w:val="000000"/>
        </w:rPr>
        <w:t xml:space="preserve">es bénéficiaires doivent conserver toute facture et tout rapport financier dans leurs </w:t>
      </w:r>
      <w:r>
        <w:rPr>
          <w:color w:val="000000"/>
        </w:rPr>
        <w:t>archives</w:t>
      </w:r>
      <w:r w:rsidRPr="008A2D1C">
        <w:rPr>
          <w:color w:val="000000"/>
        </w:rPr>
        <w:t xml:space="preserve"> à des fins de contrôl</w:t>
      </w:r>
      <w:r>
        <w:rPr>
          <w:color w:val="000000"/>
        </w:rPr>
        <w:t>e.</w:t>
      </w:r>
    </w:p>
    <w:p w14:paraId="00000032" w14:textId="6E4B6A41" w:rsidR="00CC781C" w:rsidRPr="00803455" w:rsidRDefault="008F7158" w:rsidP="00654379">
      <w:pPr>
        <w:numPr>
          <w:ilvl w:val="0"/>
          <w:numId w:val="1"/>
        </w:numPr>
        <w:pBdr>
          <w:top w:val="nil"/>
          <w:left w:val="nil"/>
          <w:bottom w:val="nil"/>
          <w:right w:val="nil"/>
          <w:between w:val="nil"/>
        </w:pBdr>
        <w:tabs>
          <w:tab w:val="left" w:pos="1307"/>
        </w:tabs>
        <w:spacing w:after="120"/>
        <w:ind w:left="357" w:hanging="357"/>
        <w:jc w:val="both"/>
      </w:pPr>
      <w:r w:rsidRPr="00A70BDE">
        <w:rPr>
          <w:color w:val="000000"/>
          <w:u w:val="single"/>
        </w:rPr>
        <w:t>Potentiel de modification/d’adaptation du projet une fois lancé</w:t>
      </w:r>
      <w:r w:rsidR="00E63537" w:rsidRPr="00A70BDE">
        <w:rPr>
          <w:color w:val="000000"/>
          <w:u w:val="single"/>
        </w:rPr>
        <w:t> :</w:t>
      </w:r>
      <w:r w:rsidR="00E63537">
        <w:rPr>
          <w:color w:val="000000"/>
        </w:rPr>
        <w:t xml:space="preserve"> l</w:t>
      </w:r>
      <w:r w:rsidR="00E63537" w:rsidRPr="00E63537">
        <w:rPr>
          <w:color w:val="000000"/>
        </w:rPr>
        <w:t xml:space="preserve">e bénéficiaire de l'EUCF ne peut pas utiliser le soutien de l'EUCF pour développer un concept d'investissement </w:t>
      </w:r>
      <w:r w:rsidR="00C55FEA">
        <w:rPr>
          <w:color w:val="000000"/>
        </w:rPr>
        <w:t>dans un autre périmètre que</w:t>
      </w:r>
      <w:r w:rsidR="00E63537" w:rsidRPr="00E63537">
        <w:rPr>
          <w:color w:val="000000"/>
        </w:rPr>
        <w:t xml:space="preserve"> celui qui a été attribué pendant la phase de </w:t>
      </w:r>
      <w:r w:rsidR="00C55FEA">
        <w:rPr>
          <w:color w:val="000000"/>
        </w:rPr>
        <w:t>candidature</w:t>
      </w:r>
      <w:r w:rsidR="00E63537" w:rsidRPr="00E63537">
        <w:rPr>
          <w:color w:val="000000"/>
        </w:rPr>
        <w:t>.</w:t>
      </w:r>
    </w:p>
    <w:p w14:paraId="00000034" w14:textId="55580448" w:rsidR="00CC781C" w:rsidRDefault="00803455" w:rsidP="00AE5139">
      <w:pPr>
        <w:numPr>
          <w:ilvl w:val="0"/>
          <w:numId w:val="1"/>
        </w:numPr>
        <w:pBdr>
          <w:top w:val="nil"/>
          <w:left w:val="nil"/>
          <w:bottom w:val="nil"/>
          <w:right w:val="nil"/>
          <w:between w:val="nil"/>
        </w:pBdr>
        <w:tabs>
          <w:tab w:val="left" w:pos="1307"/>
        </w:tabs>
        <w:jc w:val="both"/>
      </w:pPr>
      <w:r w:rsidRPr="00803455">
        <w:t xml:space="preserve">Si le bénéficiaire n'est pas en mesure d'achever le concept d'investissement dans le délai ou si le concept d'investissement </w:t>
      </w:r>
      <w:r>
        <w:t>n’</w:t>
      </w:r>
      <w:r w:rsidRPr="00803455">
        <w:t xml:space="preserve">est </w:t>
      </w:r>
      <w:r>
        <w:t xml:space="preserve">pas </w:t>
      </w:r>
      <w:r w:rsidRPr="00803455">
        <w:t xml:space="preserve">validé, il devra remplir un rapport de </w:t>
      </w:r>
      <w:r w:rsidR="002B3C56">
        <w:t>« </w:t>
      </w:r>
      <w:r w:rsidRPr="00803455">
        <w:t>non-développement du CI</w:t>
      </w:r>
      <w:r w:rsidR="002B3C56">
        <w:t> »</w:t>
      </w:r>
      <w:r w:rsidRPr="00803455">
        <w:t>. Pour que les bénéficiaires puissent conserver le préfinancement du montant de la subvention de l'EUCF, le coordinateur de l'EUCF doit approuver le rapport de non-développement du CI.</w:t>
      </w:r>
    </w:p>
    <w:p w14:paraId="4067435C" w14:textId="7A4534A6" w:rsidR="00863CB4" w:rsidRDefault="008F7158" w:rsidP="003079CD">
      <w:pPr>
        <w:pStyle w:val="Titre1"/>
        <w:spacing w:before="240" w:after="120"/>
        <w:ind w:left="357" w:firstLine="357"/>
      </w:pPr>
      <w:r>
        <w:t>Exemples de projet</w:t>
      </w:r>
    </w:p>
    <w:p w14:paraId="2ECF7351" w14:textId="77777777" w:rsidR="00863CB4" w:rsidRPr="003079CD" w:rsidRDefault="00863CB4" w:rsidP="00863CB4">
      <w:pPr>
        <w:pBdr>
          <w:top w:val="single" w:sz="12" w:space="1" w:color="auto"/>
          <w:left w:val="single" w:sz="12" w:space="4" w:color="auto"/>
          <w:bottom w:val="single" w:sz="12" w:space="1" w:color="auto"/>
          <w:right w:val="single" w:sz="12" w:space="4" w:color="auto"/>
        </w:pBdr>
        <w:shd w:val="clear" w:color="auto" w:fill="E5DFEC" w:themeFill="accent4" w:themeFillTint="33"/>
        <w:tabs>
          <w:tab w:val="left" w:pos="1307"/>
        </w:tabs>
        <w:spacing w:after="120"/>
        <w:ind w:left="851" w:right="851"/>
        <w:jc w:val="center"/>
        <w:rPr>
          <w:b/>
          <w:bCs/>
          <w:sz w:val="20"/>
          <w:szCs w:val="20"/>
        </w:rPr>
      </w:pPr>
      <w:r w:rsidRPr="003079CD">
        <w:rPr>
          <w:b/>
          <w:bCs/>
          <w:sz w:val="20"/>
          <w:szCs w:val="20"/>
        </w:rPr>
        <w:t>Exemple n°1 :</w:t>
      </w:r>
    </w:p>
    <w:p w14:paraId="6787A6BE" w14:textId="63870E01" w:rsidR="00863CB4" w:rsidRPr="003079CD" w:rsidRDefault="00863CB4" w:rsidP="00863CB4">
      <w:pPr>
        <w:pBdr>
          <w:top w:val="single" w:sz="12" w:space="1" w:color="auto"/>
          <w:left w:val="single" w:sz="12" w:space="4" w:color="auto"/>
          <w:bottom w:val="single" w:sz="12" w:space="1" w:color="auto"/>
          <w:right w:val="single" w:sz="12" w:space="4" w:color="auto"/>
        </w:pBdr>
        <w:shd w:val="clear" w:color="auto" w:fill="E5DFEC" w:themeFill="accent4" w:themeFillTint="33"/>
        <w:tabs>
          <w:tab w:val="left" w:pos="1307"/>
        </w:tabs>
        <w:ind w:left="851" w:right="851"/>
        <w:jc w:val="both"/>
        <w:rPr>
          <w:sz w:val="20"/>
          <w:szCs w:val="20"/>
          <w:u w:val="single"/>
        </w:rPr>
      </w:pPr>
      <w:r w:rsidRPr="003079CD">
        <w:rPr>
          <w:sz w:val="20"/>
          <w:szCs w:val="20"/>
          <w:u w:val="single"/>
        </w:rPr>
        <w:t>Porteur de projet :</w:t>
      </w:r>
      <w:r w:rsidRPr="003079CD">
        <w:rPr>
          <w:sz w:val="20"/>
          <w:szCs w:val="20"/>
        </w:rPr>
        <w:t xml:space="preserve"> </w:t>
      </w:r>
      <w:r w:rsidR="00FB6063" w:rsidRPr="003079CD">
        <w:rPr>
          <w:sz w:val="20"/>
          <w:szCs w:val="20"/>
        </w:rPr>
        <w:t>Cascais (Portugal)</w:t>
      </w:r>
    </w:p>
    <w:p w14:paraId="5A14A954" w14:textId="6145C12E" w:rsidR="00863CB4" w:rsidRPr="003079CD" w:rsidRDefault="00863CB4" w:rsidP="00863CB4">
      <w:pPr>
        <w:pBdr>
          <w:top w:val="single" w:sz="12" w:space="1" w:color="auto"/>
          <w:left w:val="single" w:sz="12" w:space="4" w:color="auto"/>
          <w:bottom w:val="single" w:sz="12" w:space="1" w:color="auto"/>
          <w:right w:val="single" w:sz="12" w:space="4" w:color="auto"/>
        </w:pBdr>
        <w:shd w:val="clear" w:color="auto" w:fill="E5DFEC" w:themeFill="accent4" w:themeFillTint="33"/>
        <w:tabs>
          <w:tab w:val="left" w:pos="1307"/>
        </w:tabs>
        <w:ind w:left="851" w:right="851"/>
        <w:jc w:val="both"/>
        <w:rPr>
          <w:sz w:val="20"/>
          <w:szCs w:val="20"/>
        </w:rPr>
      </w:pPr>
      <w:r w:rsidRPr="003079CD">
        <w:rPr>
          <w:sz w:val="20"/>
          <w:szCs w:val="20"/>
          <w:u w:val="single"/>
        </w:rPr>
        <w:t>Titre :</w:t>
      </w:r>
      <w:r w:rsidRPr="003079CD">
        <w:rPr>
          <w:sz w:val="20"/>
          <w:szCs w:val="20"/>
        </w:rPr>
        <w:t xml:space="preserve"> </w:t>
      </w:r>
      <w:r w:rsidR="00FB6063" w:rsidRPr="003079CD">
        <w:rPr>
          <w:sz w:val="20"/>
          <w:szCs w:val="20"/>
        </w:rPr>
        <w:t>« Des communautés énergétiques locales pionnières à Cascais, Portugal »</w:t>
      </w:r>
    </w:p>
    <w:p w14:paraId="4DC1C10A" w14:textId="2E474AFF" w:rsidR="00863CB4" w:rsidRPr="003079CD" w:rsidRDefault="00FB6063" w:rsidP="00863CB4">
      <w:pPr>
        <w:pBdr>
          <w:top w:val="single" w:sz="12" w:space="1" w:color="auto"/>
          <w:left w:val="single" w:sz="12" w:space="4" w:color="auto"/>
          <w:bottom w:val="single" w:sz="12" w:space="1" w:color="auto"/>
          <w:right w:val="single" w:sz="12" w:space="4" w:color="auto"/>
        </w:pBdr>
        <w:shd w:val="clear" w:color="auto" w:fill="E5DFEC" w:themeFill="accent4" w:themeFillTint="33"/>
        <w:tabs>
          <w:tab w:val="left" w:pos="1307"/>
        </w:tabs>
        <w:ind w:left="851" w:right="851"/>
        <w:jc w:val="both"/>
        <w:rPr>
          <w:sz w:val="20"/>
          <w:szCs w:val="20"/>
        </w:rPr>
      </w:pPr>
      <w:r w:rsidRPr="003079CD">
        <w:rPr>
          <w:sz w:val="20"/>
          <w:szCs w:val="20"/>
          <w:u w:val="single"/>
        </w:rPr>
        <w:t>Appel à projet</w:t>
      </w:r>
      <w:r w:rsidR="00D86426" w:rsidRPr="003079CD">
        <w:rPr>
          <w:sz w:val="20"/>
          <w:szCs w:val="20"/>
          <w:u w:val="single"/>
        </w:rPr>
        <w:t>s</w:t>
      </w:r>
      <w:r w:rsidRPr="003079CD">
        <w:rPr>
          <w:sz w:val="20"/>
          <w:szCs w:val="20"/>
          <w:u w:val="single"/>
        </w:rPr>
        <w:t> :</w:t>
      </w:r>
      <w:r w:rsidRPr="003079CD">
        <w:rPr>
          <w:sz w:val="20"/>
          <w:szCs w:val="20"/>
        </w:rPr>
        <w:t xml:space="preserve"> premier appel</w:t>
      </w:r>
    </w:p>
    <w:p w14:paraId="1D176ED5" w14:textId="08A08BEA" w:rsidR="00863CB4" w:rsidRPr="003079CD" w:rsidRDefault="00863CB4" w:rsidP="00863CB4">
      <w:pPr>
        <w:pBdr>
          <w:top w:val="single" w:sz="12" w:space="1" w:color="auto"/>
          <w:left w:val="single" w:sz="12" w:space="4" w:color="auto"/>
          <w:bottom w:val="single" w:sz="12" w:space="1" w:color="auto"/>
          <w:right w:val="single" w:sz="12" w:space="4" w:color="auto"/>
        </w:pBdr>
        <w:shd w:val="clear" w:color="auto" w:fill="E5DFEC" w:themeFill="accent4" w:themeFillTint="33"/>
        <w:tabs>
          <w:tab w:val="left" w:pos="1307"/>
        </w:tabs>
        <w:ind w:left="851" w:right="851"/>
        <w:jc w:val="both"/>
        <w:rPr>
          <w:sz w:val="20"/>
          <w:szCs w:val="20"/>
        </w:rPr>
      </w:pPr>
      <w:r w:rsidRPr="003079CD">
        <w:rPr>
          <w:sz w:val="20"/>
          <w:szCs w:val="20"/>
          <w:u w:val="single"/>
        </w:rPr>
        <w:t>Référence du projet :</w:t>
      </w:r>
      <w:r w:rsidRPr="003079CD">
        <w:rPr>
          <w:sz w:val="20"/>
          <w:szCs w:val="20"/>
        </w:rPr>
        <w:t xml:space="preserve"> </w:t>
      </w:r>
      <w:r w:rsidR="00FB6063" w:rsidRPr="003079CD">
        <w:rPr>
          <w:sz w:val="20"/>
          <w:szCs w:val="20"/>
        </w:rPr>
        <w:t>Grant Agreement N°864212 (H2020)</w:t>
      </w:r>
    </w:p>
    <w:p w14:paraId="27039ED2" w14:textId="7F04A9D1" w:rsidR="00863CB4" w:rsidRPr="003079CD" w:rsidRDefault="00863CB4" w:rsidP="00FB6063">
      <w:pPr>
        <w:pBdr>
          <w:top w:val="single" w:sz="12" w:space="1" w:color="auto"/>
          <w:left w:val="single" w:sz="12" w:space="4" w:color="auto"/>
          <w:bottom w:val="single" w:sz="12" w:space="1" w:color="auto"/>
          <w:right w:val="single" w:sz="12" w:space="4" w:color="auto"/>
        </w:pBdr>
        <w:shd w:val="clear" w:color="auto" w:fill="E5DFEC" w:themeFill="accent4" w:themeFillTint="33"/>
        <w:tabs>
          <w:tab w:val="left" w:pos="1307"/>
        </w:tabs>
        <w:ind w:left="851" w:right="851"/>
        <w:jc w:val="both"/>
        <w:rPr>
          <w:sz w:val="20"/>
          <w:szCs w:val="20"/>
        </w:rPr>
      </w:pPr>
      <w:r w:rsidRPr="003079CD">
        <w:rPr>
          <w:sz w:val="20"/>
          <w:szCs w:val="20"/>
          <w:u w:val="single"/>
        </w:rPr>
        <w:t>Subvention UE :</w:t>
      </w:r>
      <w:r w:rsidRPr="003079CD">
        <w:rPr>
          <w:sz w:val="20"/>
          <w:szCs w:val="20"/>
        </w:rPr>
        <w:t xml:space="preserve"> </w:t>
      </w:r>
      <w:r w:rsidR="00FB6063" w:rsidRPr="003079CD">
        <w:rPr>
          <w:sz w:val="20"/>
          <w:szCs w:val="20"/>
        </w:rPr>
        <w:t>60 000€</w:t>
      </w:r>
    </w:p>
    <w:p w14:paraId="15679AB8" w14:textId="3B98231F" w:rsidR="00FB6063" w:rsidRPr="003079CD" w:rsidRDefault="00FB6063" w:rsidP="00FB6063">
      <w:pPr>
        <w:pBdr>
          <w:top w:val="single" w:sz="12" w:space="1" w:color="auto"/>
          <w:left w:val="single" w:sz="12" w:space="4" w:color="auto"/>
          <w:bottom w:val="single" w:sz="12" w:space="1" w:color="auto"/>
          <w:right w:val="single" w:sz="12" w:space="4" w:color="auto"/>
        </w:pBdr>
        <w:shd w:val="clear" w:color="auto" w:fill="E5DFEC" w:themeFill="accent4" w:themeFillTint="33"/>
        <w:tabs>
          <w:tab w:val="left" w:pos="1307"/>
        </w:tabs>
        <w:spacing w:after="120"/>
        <w:ind w:left="851" w:right="851"/>
        <w:jc w:val="both"/>
        <w:rPr>
          <w:sz w:val="20"/>
          <w:szCs w:val="20"/>
        </w:rPr>
      </w:pPr>
      <w:r w:rsidRPr="003079CD">
        <w:rPr>
          <w:sz w:val="20"/>
          <w:szCs w:val="20"/>
          <w:u w:val="single"/>
        </w:rPr>
        <w:t>Taille de l’investissement :</w:t>
      </w:r>
      <w:r w:rsidRPr="003079CD">
        <w:rPr>
          <w:sz w:val="20"/>
          <w:szCs w:val="20"/>
        </w:rPr>
        <w:t xml:space="preserve"> 250 millions d’euros</w:t>
      </w:r>
    </w:p>
    <w:p w14:paraId="50F0B608" w14:textId="56882EFB" w:rsidR="00863CB4" w:rsidRPr="003079CD" w:rsidRDefault="00D56660" w:rsidP="00FB6063">
      <w:pPr>
        <w:pBdr>
          <w:top w:val="single" w:sz="12" w:space="1" w:color="auto"/>
          <w:left w:val="single" w:sz="12" w:space="4" w:color="auto"/>
          <w:bottom w:val="single" w:sz="12" w:space="1" w:color="auto"/>
          <w:right w:val="single" w:sz="12" w:space="4" w:color="auto"/>
        </w:pBdr>
        <w:shd w:val="clear" w:color="auto" w:fill="E5DFEC" w:themeFill="accent4" w:themeFillTint="33"/>
        <w:tabs>
          <w:tab w:val="left" w:pos="1307"/>
        </w:tabs>
        <w:spacing w:after="120"/>
        <w:ind w:left="851" w:right="851"/>
        <w:jc w:val="both"/>
        <w:rPr>
          <w:sz w:val="20"/>
          <w:szCs w:val="20"/>
        </w:rPr>
      </w:pPr>
      <w:r w:rsidRPr="003079CD">
        <w:rPr>
          <w:sz w:val="20"/>
          <w:szCs w:val="20"/>
        </w:rPr>
        <w:t xml:space="preserve">Pour atteindre ses objectifs climatiques, </w:t>
      </w:r>
      <w:r w:rsidR="00FB6063" w:rsidRPr="003079CD">
        <w:rPr>
          <w:sz w:val="20"/>
          <w:szCs w:val="20"/>
        </w:rPr>
        <w:t xml:space="preserve">la municipalité de </w:t>
      </w:r>
      <w:r w:rsidRPr="003079CD">
        <w:rPr>
          <w:sz w:val="20"/>
          <w:szCs w:val="20"/>
        </w:rPr>
        <w:t>Cascais</w:t>
      </w:r>
      <w:r w:rsidR="00FB6063" w:rsidRPr="003079CD">
        <w:rPr>
          <w:sz w:val="20"/>
          <w:szCs w:val="20"/>
        </w:rPr>
        <w:t xml:space="preserve"> (Portugal)</w:t>
      </w:r>
      <w:r w:rsidRPr="003079CD">
        <w:rPr>
          <w:sz w:val="20"/>
          <w:szCs w:val="20"/>
        </w:rPr>
        <w:t xml:space="preserve"> a l'intention de développer une production renouvelable communautaire en installant 184 MW d'énergie solaire. Leur candidature à l'EUCF et le concept d'investissement qu'ils</w:t>
      </w:r>
      <w:r w:rsidR="00FB6063" w:rsidRPr="003079CD">
        <w:rPr>
          <w:sz w:val="20"/>
          <w:szCs w:val="20"/>
        </w:rPr>
        <w:t xml:space="preserve"> développent</w:t>
      </w:r>
      <w:r w:rsidRPr="003079CD">
        <w:rPr>
          <w:sz w:val="20"/>
          <w:szCs w:val="20"/>
        </w:rPr>
        <w:t xml:space="preserve"> visent à </w:t>
      </w:r>
      <w:r w:rsidR="00FB6063" w:rsidRPr="003079CD">
        <w:rPr>
          <w:sz w:val="20"/>
          <w:szCs w:val="20"/>
        </w:rPr>
        <w:t xml:space="preserve">favoriser </w:t>
      </w:r>
      <w:r w:rsidRPr="003079CD">
        <w:rPr>
          <w:sz w:val="20"/>
          <w:szCs w:val="20"/>
        </w:rPr>
        <w:t xml:space="preserve">la mise en œuvre de </w:t>
      </w:r>
      <w:r w:rsidR="00FB6063" w:rsidRPr="003079CD">
        <w:rPr>
          <w:sz w:val="20"/>
          <w:szCs w:val="20"/>
        </w:rPr>
        <w:t>« </w:t>
      </w:r>
      <w:r w:rsidRPr="003079CD">
        <w:rPr>
          <w:sz w:val="20"/>
          <w:szCs w:val="20"/>
        </w:rPr>
        <w:t>communautés énergétiques locales</w:t>
      </w:r>
      <w:r w:rsidR="00FB6063" w:rsidRPr="003079CD">
        <w:rPr>
          <w:sz w:val="20"/>
          <w:szCs w:val="20"/>
        </w:rPr>
        <w:t> »</w:t>
      </w:r>
      <w:r w:rsidRPr="003079CD">
        <w:rPr>
          <w:sz w:val="20"/>
          <w:szCs w:val="20"/>
        </w:rPr>
        <w:t xml:space="preserve"> grâce à une analyse du marché, à la création d'un guichet unique et à une analyse économique de l'investissement requis, entre autres aspects clés.</w:t>
      </w:r>
    </w:p>
    <w:p w14:paraId="3AE83B37" w14:textId="74593B5F" w:rsidR="00D86426" w:rsidRPr="003079CD" w:rsidRDefault="00FB6063" w:rsidP="003079CD">
      <w:pPr>
        <w:pBdr>
          <w:top w:val="single" w:sz="12" w:space="1" w:color="auto"/>
          <w:left w:val="single" w:sz="12" w:space="4" w:color="auto"/>
          <w:bottom w:val="single" w:sz="12" w:space="1" w:color="auto"/>
          <w:right w:val="single" w:sz="12" w:space="4" w:color="auto"/>
        </w:pBdr>
        <w:shd w:val="clear" w:color="auto" w:fill="E5DFEC" w:themeFill="accent4" w:themeFillTint="33"/>
        <w:tabs>
          <w:tab w:val="left" w:pos="1307"/>
        </w:tabs>
        <w:ind w:left="851" w:right="851"/>
        <w:jc w:val="both"/>
        <w:rPr>
          <w:sz w:val="20"/>
          <w:szCs w:val="20"/>
        </w:rPr>
      </w:pPr>
      <w:r w:rsidRPr="003079CD">
        <w:rPr>
          <w:sz w:val="20"/>
          <w:szCs w:val="20"/>
        </w:rPr>
        <w:t xml:space="preserve">Plus d’informations en cliquant </w:t>
      </w:r>
      <w:hyperlink r:id="rId10" w:history="1">
        <w:r w:rsidRPr="003079CD">
          <w:rPr>
            <w:rStyle w:val="Lienhypertexte"/>
            <w:sz w:val="20"/>
            <w:szCs w:val="20"/>
          </w:rPr>
          <w:t>ici</w:t>
        </w:r>
      </w:hyperlink>
      <w:r w:rsidR="00D86426" w:rsidRPr="003079CD">
        <w:rPr>
          <w:sz w:val="20"/>
          <w:szCs w:val="20"/>
        </w:rPr>
        <w:t>.</w:t>
      </w:r>
    </w:p>
    <w:p w14:paraId="4CFC8E43" w14:textId="77777777" w:rsidR="00D86426" w:rsidRDefault="00D86426" w:rsidP="00863CB4">
      <w:pPr>
        <w:pBdr>
          <w:top w:val="nil"/>
          <w:left w:val="nil"/>
          <w:bottom w:val="nil"/>
          <w:right w:val="nil"/>
          <w:between w:val="nil"/>
        </w:pBdr>
        <w:tabs>
          <w:tab w:val="left" w:pos="1307"/>
        </w:tabs>
        <w:jc w:val="both"/>
      </w:pPr>
    </w:p>
    <w:p w14:paraId="1D96DAFD" w14:textId="0966EC3C" w:rsidR="00863CB4" w:rsidRPr="003079CD" w:rsidRDefault="00863CB4" w:rsidP="00863CB4">
      <w:pPr>
        <w:pBdr>
          <w:top w:val="single" w:sz="12" w:space="1" w:color="auto"/>
          <w:left w:val="single" w:sz="12" w:space="4" w:color="auto"/>
          <w:bottom w:val="single" w:sz="12" w:space="1" w:color="auto"/>
          <w:right w:val="single" w:sz="12" w:space="4" w:color="auto"/>
        </w:pBdr>
        <w:shd w:val="clear" w:color="auto" w:fill="E5DFEC" w:themeFill="accent4" w:themeFillTint="33"/>
        <w:tabs>
          <w:tab w:val="left" w:pos="1307"/>
        </w:tabs>
        <w:spacing w:after="120"/>
        <w:ind w:left="851" w:right="851"/>
        <w:jc w:val="center"/>
        <w:rPr>
          <w:b/>
          <w:bCs/>
          <w:sz w:val="20"/>
          <w:szCs w:val="20"/>
        </w:rPr>
      </w:pPr>
      <w:r w:rsidRPr="003079CD">
        <w:rPr>
          <w:b/>
          <w:bCs/>
          <w:sz w:val="20"/>
          <w:szCs w:val="20"/>
        </w:rPr>
        <w:t>Exemple n°2 :</w:t>
      </w:r>
    </w:p>
    <w:p w14:paraId="3F5BDD53" w14:textId="36E97620" w:rsidR="00863CB4" w:rsidRPr="003079CD" w:rsidRDefault="00863CB4" w:rsidP="00863CB4">
      <w:pPr>
        <w:pBdr>
          <w:top w:val="single" w:sz="12" w:space="1" w:color="auto"/>
          <w:left w:val="single" w:sz="12" w:space="4" w:color="auto"/>
          <w:bottom w:val="single" w:sz="12" w:space="1" w:color="auto"/>
          <w:right w:val="single" w:sz="12" w:space="4" w:color="auto"/>
        </w:pBdr>
        <w:shd w:val="clear" w:color="auto" w:fill="E5DFEC" w:themeFill="accent4" w:themeFillTint="33"/>
        <w:tabs>
          <w:tab w:val="left" w:pos="1307"/>
        </w:tabs>
        <w:ind w:left="851" w:right="851"/>
        <w:jc w:val="both"/>
        <w:rPr>
          <w:sz w:val="20"/>
          <w:szCs w:val="20"/>
          <w:u w:val="single"/>
        </w:rPr>
      </w:pPr>
      <w:r w:rsidRPr="003079CD">
        <w:rPr>
          <w:sz w:val="20"/>
          <w:szCs w:val="20"/>
          <w:u w:val="single"/>
        </w:rPr>
        <w:t>Porteur de projet :</w:t>
      </w:r>
      <w:r w:rsidRPr="003079CD">
        <w:rPr>
          <w:sz w:val="20"/>
          <w:szCs w:val="20"/>
        </w:rPr>
        <w:t xml:space="preserve"> </w:t>
      </w:r>
      <w:r w:rsidR="00274032" w:rsidRPr="003079CD">
        <w:rPr>
          <w:sz w:val="20"/>
          <w:szCs w:val="20"/>
        </w:rPr>
        <w:t>EuroPACE Foundation et les 5 municipalités de Olot, Ripoll, Banyoles, Salt, La Bisbal d’Empordà et Santa Coloma de Farners (Italie)</w:t>
      </w:r>
    </w:p>
    <w:p w14:paraId="42468295" w14:textId="69EB00B4" w:rsidR="00863CB4" w:rsidRPr="003079CD" w:rsidRDefault="00863CB4" w:rsidP="00863CB4">
      <w:pPr>
        <w:pBdr>
          <w:top w:val="single" w:sz="12" w:space="1" w:color="auto"/>
          <w:left w:val="single" w:sz="12" w:space="4" w:color="auto"/>
          <w:bottom w:val="single" w:sz="12" w:space="1" w:color="auto"/>
          <w:right w:val="single" w:sz="12" w:space="4" w:color="auto"/>
        </w:pBdr>
        <w:shd w:val="clear" w:color="auto" w:fill="E5DFEC" w:themeFill="accent4" w:themeFillTint="33"/>
        <w:tabs>
          <w:tab w:val="left" w:pos="1307"/>
        </w:tabs>
        <w:ind w:left="851" w:right="851"/>
        <w:jc w:val="both"/>
        <w:rPr>
          <w:sz w:val="20"/>
          <w:szCs w:val="20"/>
        </w:rPr>
      </w:pPr>
      <w:r w:rsidRPr="003079CD">
        <w:rPr>
          <w:sz w:val="20"/>
          <w:szCs w:val="20"/>
          <w:u w:val="single"/>
        </w:rPr>
        <w:t>Titre :</w:t>
      </w:r>
      <w:r w:rsidRPr="003079CD">
        <w:rPr>
          <w:sz w:val="20"/>
          <w:szCs w:val="20"/>
        </w:rPr>
        <w:t xml:space="preserve"> </w:t>
      </w:r>
      <w:r w:rsidR="00D86426" w:rsidRPr="003079CD">
        <w:rPr>
          <w:sz w:val="20"/>
          <w:szCs w:val="20"/>
        </w:rPr>
        <w:t>« GiDomus - Accélérer le taux de rénovation des bâtiments résidentiels dans la province de Gérone »</w:t>
      </w:r>
    </w:p>
    <w:p w14:paraId="3F15AF03" w14:textId="77777777" w:rsidR="00D86426" w:rsidRPr="003079CD" w:rsidRDefault="00D86426" w:rsidP="00D86426">
      <w:pPr>
        <w:pBdr>
          <w:top w:val="single" w:sz="12" w:space="1" w:color="auto"/>
          <w:left w:val="single" w:sz="12" w:space="4" w:color="auto"/>
          <w:bottom w:val="single" w:sz="12" w:space="1" w:color="auto"/>
          <w:right w:val="single" w:sz="12" w:space="4" w:color="auto"/>
        </w:pBdr>
        <w:shd w:val="clear" w:color="auto" w:fill="E5DFEC" w:themeFill="accent4" w:themeFillTint="33"/>
        <w:tabs>
          <w:tab w:val="left" w:pos="1307"/>
        </w:tabs>
        <w:ind w:left="851" w:right="851"/>
        <w:jc w:val="both"/>
        <w:rPr>
          <w:sz w:val="20"/>
          <w:szCs w:val="20"/>
        </w:rPr>
      </w:pPr>
      <w:r w:rsidRPr="003079CD">
        <w:rPr>
          <w:sz w:val="20"/>
          <w:szCs w:val="20"/>
          <w:u w:val="single"/>
        </w:rPr>
        <w:t>Appel à projets :</w:t>
      </w:r>
      <w:r w:rsidRPr="003079CD">
        <w:rPr>
          <w:sz w:val="20"/>
          <w:szCs w:val="20"/>
        </w:rPr>
        <w:t xml:space="preserve"> premier appel</w:t>
      </w:r>
    </w:p>
    <w:p w14:paraId="0175EE29" w14:textId="5EB73D4C" w:rsidR="00863CB4" w:rsidRPr="003079CD" w:rsidRDefault="00863CB4" w:rsidP="00863CB4">
      <w:pPr>
        <w:pBdr>
          <w:top w:val="single" w:sz="12" w:space="1" w:color="auto"/>
          <w:left w:val="single" w:sz="12" w:space="4" w:color="auto"/>
          <w:bottom w:val="single" w:sz="12" w:space="1" w:color="auto"/>
          <w:right w:val="single" w:sz="12" w:space="4" w:color="auto"/>
        </w:pBdr>
        <w:shd w:val="clear" w:color="auto" w:fill="E5DFEC" w:themeFill="accent4" w:themeFillTint="33"/>
        <w:tabs>
          <w:tab w:val="left" w:pos="1307"/>
        </w:tabs>
        <w:ind w:left="851" w:right="851"/>
        <w:jc w:val="both"/>
        <w:rPr>
          <w:sz w:val="20"/>
          <w:szCs w:val="20"/>
        </w:rPr>
      </w:pPr>
      <w:r w:rsidRPr="003079CD">
        <w:rPr>
          <w:sz w:val="20"/>
          <w:szCs w:val="20"/>
          <w:u w:val="single"/>
        </w:rPr>
        <w:t>Référence du projet :</w:t>
      </w:r>
      <w:r w:rsidRPr="003079CD">
        <w:rPr>
          <w:sz w:val="20"/>
          <w:szCs w:val="20"/>
        </w:rPr>
        <w:t xml:space="preserve"> </w:t>
      </w:r>
      <w:r w:rsidR="00D86426" w:rsidRPr="003079CD">
        <w:rPr>
          <w:sz w:val="20"/>
          <w:szCs w:val="20"/>
        </w:rPr>
        <w:t>Grant Agreement N°864212 (H2020)</w:t>
      </w:r>
    </w:p>
    <w:p w14:paraId="243E4442" w14:textId="40FC5B9F" w:rsidR="00863CB4" w:rsidRPr="003079CD" w:rsidRDefault="00863CB4" w:rsidP="00D86426">
      <w:pPr>
        <w:pBdr>
          <w:top w:val="single" w:sz="12" w:space="1" w:color="auto"/>
          <w:left w:val="single" w:sz="12" w:space="4" w:color="auto"/>
          <w:bottom w:val="single" w:sz="12" w:space="1" w:color="auto"/>
          <w:right w:val="single" w:sz="12" w:space="4" w:color="auto"/>
        </w:pBdr>
        <w:shd w:val="clear" w:color="auto" w:fill="E5DFEC" w:themeFill="accent4" w:themeFillTint="33"/>
        <w:tabs>
          <w:tab w:val="left" w:pos="1307"/>
        </w:tabs>
        <w:ind w:left="851" w:right="851"/>
        <w:jc w:val="both"/>
        <w:rPr>
          <w:sz w:val="20"/>
          <w:szCs w:val="20"/>
        </w:rPr>
      </w:pPr>
      <w:r w:rsidRPr="003079CD">
        <w:rPr>
          <w:sz w:val="20"/>
          <w:szCs w:val="20"/>
          <w:u w:val="single"/>
        </w:rPr>
        <w:t>Subvention UE :</w:t>
      </w:r>
      <w:r w:rsidRPr="003079CD">
        <w:rPr>
          <w:sz w:val="20"/>
          <w:szCs w:val="20"/>
        </w:rPr>
        <w:t xml:space="preserve"> </w:t>
      </w:r>
      <w:r w:rsidR="00D86426" w:rsidRPr="003079CD">
        <w:rPr>
          <w:sz w:val="20"/>
          <w:szCs w:val="20"/>
        </w:rPr>
        <w:t>60 000€</w:t>
      </w:r>
    </w:p>
    <w:p w14:paraId="058D6578" w14:textId="56B51DCA" w:rsidR="00D86426" w:rsidRPr="003079CD" w:rsidRDefault="00D86426" w:rsidP="00863CB4">
      <w:pPr>
        <w:pBdr>
          <w:top w:val="single" w:sz="12" w:space="1" w:color="auto"/>
          <w:left w:val="single" w:sz="12" w:space="4" w:color="auto"/>
          <w:bottom w:val="single" w:sz="12" w:space="1" w:color="auto"/>
          <w:right w:val="single" w:sz="12" w:space="4" w:color="auto"/>
        </w:pBdr>
        <w:shd w:val="clear" w:color="auto" w:fill="E5DFEC" w:themeFill="accent4" w:themeFillTint="33"/>
        <w:tabs>
          <w:tab w:val="left" w:pos="1307"/>
        </w:tabs>
        <w:spacing w:after="120"/>
        <w:ind w:left="851" w:right="851"/>
        <w:jc w:val="both"/>
        <w:rPr>
          <w:sz w:val="20"/>
          <w:szCs w:val="20"/>
          <w:u w:val="single"/>
        </w:rPr>
      </w:pPr>
      <w:r w:rsidRPr="003079CD">
        <w:rPr>
          <w:sz w:val="20"/>
          <w:szCs w:val="20"/>
          <w:u w:val="single"/>
        </w:rPr>
        <w:t>Taille de l’investissement :</w:t>
      </w:r>
      <w:r w:rsidRPr="003079CD">
        <w:rPr>
          <w:sz w:val="20"/>
          <w:szCs w:val="20"/>
        </w:rPr>
        <w:t xml:space="preserve"> 106 millions d’euros</w:t>
      </w:r>
    </w:p>
    <w:p w14:paraId="16E9ACCC" w14:textId="2CA92EED" w:rsidR="00863CB4" w:rsidRPr="003079CD" w:rsidRDefault="00863CB4" w:rsidP="00274032">
      <w:pPr>
        <w:pBdr>
          <w:top w:val="single" w:sz="12" w:space="1" w:color="auto"/>
          <w:left w:val="single" w:sz="12" w:space="4" w:color="auto"/>
          <w:bottom w:val="single" w:sz="12" w:space="1" w:color="auto"/>
          <w:right w:val="single" w:sz="12" w:space="4" w:color="auto"/>
        </w:pBdr>
        <w:shd w:val="clear" w:color="auto" w:fill="E5DFEC" w:themeFill="accent4" w:themeFillTint="33"/>
        <w:tabs>
          <w:tab w:val="left" w:pos="1307"/>
        </w:tabs>
        <w:spacing w:after="120"/>
        <w:ind w:left="851" w:right="851"/>
        <w:jc w:val="both"/>
        <w:rPr>
          <w:sz w:val="20"/>
          <w:szCs w:val="20"/>
        </w:rPr>
      </w:pPr>
      <w:r w:rsidRPr="003079CD">
        <w:rPr>
          <w:sz w:val="20"/>
          <w:szCs w:val="20"/>
        </w:rPr>
        <w:t xml:space="preserve">Ce projet </w:t>
      </w:r>
      <w:r w:rsidR="00274032" w:rsidRPr="003079CD">
        <w:rPr>
          <w:sz w:val="20"/>
          <w:szCs w:val="20"/>
        </w:rPr>
        <w:t xml:space="preserve">vise à multiplier le nombre de rénovations énergétiques des bâtiments résidentiels, en développant un service de guichet unique par municipalité. Ce service promouvra l'efficacité </w:t>
      </w:r>
      <w:r w:rsidR="00274032" w:rsidRPr="003079CD">
        <w:rPr>
          <w:sz w:val="20"/>
          <w:szCs w:val="20"/>
        </w:rPr>
        <w:lastRenderedPageBreak/>
        <w:t xml:space="preserve">énergétique et l'utilisation des énergies renouvelables dans les habitations, donnera des conseils sur l'optimisation des factures d'énergie et </w:t>
      </w:r>
      <w:r w:rsidR="007A5BFC">
        <w:rPr>
          <w:sz w:val="20"/>
          <w:szCs w:val="20"/>
        </w:rPr>
        <w:t>la réduction de</w:t>
      </w:r>
      <w:r w:rsidR="00274032" w:rsidRPr="003079CD">
        <w:rPr>
          <w:sz w:val="20"/>
          <w:szCs w:val="20"/>
        </w:rPr>
        <w:t xml:space="preserve"> la consommation d'énergie des ménages.</w:t>
      </w:r>
    </w:p>
    <w:p w14:paraId="50A0B9B8" w14:textId="0527403C" w:rsidR="00274032" w:rsidRPr="003079CD" w:rsidRDefault="00274032" w:rsidP="00274032">
      <w:pPr>
        <w:pBdr>
          <w:top w:val="single" w:sz="12" w:space="1" w:color="auto"/>
          <w:left w:val="single" w:sz="12" w:space="4" w:color="auto"/>
          <w:bottom w:val="single" w:sz="12" w:space="1" w:color="auto"/>
          <w:right w:val="single" w:sz="12" w:space="4" w:color="auto"/>
        </w:pBdr>
        <w:shd w:val="clear" w:color="auto" w:fill="E5DFEC" w:themeFill="accent4" w:themeFillTint="33"/>
        <w:tabs>
          <w:tab w:val="left" w:pos="1307"/>
        </w:tabs>
        <w:ind w:left="851" w:right="851"/>
        <w:jc w:val="both"/>
        <w:rPr>
          <w:sz w:val="20"/>
          <w:szCs w:val="20"/>
        </w:rPr>
      </w:pPr>
      <w:r w:rsidRPr="003079CD">
        <w:rPr>
          <w:sz w:val="20"/>
          <w:szCs w:val="20"/>
        </w:rPr>
        <w:t xml:space="preserve">Plus d’informations en cliquant </w:t>
      </w:r>
      <w:hyperlink r:id="rId11" w:history="1">
        <w:r w:rsidRPr="003079CD">
          <w:rPr>
            <w:rStyle w:val="Lienhypertexte"/>
            <w:sz w:val="20"/>
            <w:szCs w:val="20"/>
          </w:rPr>
          <w:t>ici</w:t>
        </w:r>
      </w:hyperlink>
      <w:r w:rsidRPr="003079CD">
        <w:rPr>
          <w:sz w:val="20"/>
          <w:szCs w:val="20"/>
        </w:rPr>
        <w:t>.</w:t>
      </w:r>
    </w:p>
    <w:p w14:paraId="0000003A" w14:textId="77777777" w:rsidR="00CC781C" w:rsidRDefault="008F7158">
      <w:pPr>
        <w:pStyle w:val="Titre1"/>
        <w:ind w:firstLine="360"/>
      </w:pPr>
      <w:r>
        <w:t>Informations pratiques</w:t>
      </w:r>
    </w:p>
    <w:p w14:paraId="0000003B" w14:textId="77777777" w:rsidR="00CC781C" w:rsidRDefault="00CC781C">
      <w:pPr>
        <w:tabs>
          <w:tab w:val="left" w:pos="1307"/>
        </w:tabs>
        <w:jc w:val="both"/>
      </w:pPr>
    </w:p>
    <w:p w14:paraId="0000003C" w14:textId="7CE7297B" w:rsidR="00CC781C" w:rsidRDefault="00EA37E7">
      <w:pPr>
        <w:numPr>
          <w:ilvl w:val="0"/>
          <w:numId w:val="3"/>
        </w:numPr>
        <w:pBdr>
          <w:top w:val="nil"/>
          <w:left w:val="nil"/>
          <w:bottom w:val="nil"/>
          <w:right w:val="nil"/>
          <w:between w:val="nil"/>
        </w:pBdr>
        <w:tabs>
          <w:tab w:val="left" w:pos="1307"/>
        </w:tabs>
        <w:jc w:val="both"/>
      </w:pPr>
      <w:r>
        <w:t>Dans chaque pays un expert national et un réseau national sont mobilisés pour accompagner les porteurs de projet :</w:t>
      </w:r>
    </w:p>
    <w:p w14:paraId="2CF24641" w14:textId="6FBB39A1" w:rsidR="00EA37E7" w:rsidRDefault="00EA37E7" w:rsidP="00EA37E7">
      <w:pPr>
        <w:numPr>
          <w:ilvl w:val="1"/>
          <w:numId w:val="3"/>
        </w:numPr>
        <w:pBdr>
          <w:top w:val="nil"/>
          <w:left w:val="nil"/>
          <w:bottom w:val="nil"/>
          <w:right w:val="nil"/>
          <w:between w:val="nil"/>
        </w:pBdr>
        <w:tabs>
          <w:tab w:val="left" w:pos="1307"/>
        </w:tabs>
        <w:jc w:val="both"/>
      </w:pPr>
      <w:r w:rsidRPr="00951B6C">
        <w:rPr>
          <w:b/>
          <w:bCs/>
        </w:rPr>
        <w:t>L’expert national </w:t>
      </w:r>
      <w:r w:rsidR="00BE0771">
        <w:t xml:space="preserve">en France est </w:t>
      </w:r>
      <w:r>
        <w:t>Auvergne Rhône-Alpes Energie Environnement</w:t>
      </w:r>
      <w:r w:rsidR="00BE0771">
        <w:t xml:space="preserve">. Il </w:t>
      </w:r>
      <w:r>
        <w:t>est le point de contact national pour les candidats. Il accompagne également les collectivités dans le développement et la mise en œuvre opérationnelle du concept d’investissement afin de garantir un renforcement des capacités.</w:t>
      </w:r>
      <w:r w:rsidR="00A329A7">
        <w:t xml:space="preserve"> Contact : </w:t>
      </w:r>
      <w:hyperlink r:id="rId12" w:history="1">
        <w:r w:rsidR="00A329A7" w:rsidRPr="00F34E32">
          <w:rPr>
            <w:rStyle w:val="Lienhypertexte"/>
          </w:rPr>
          <w:t>ce.france@eucityfacility.eu</w:t>
        </w:r>
      </w:hyperlink>
      <w:r w:rsidR="00A329A7">
        <w:t xml:space="preserve"> </w:t>
      </w:r>
    </w:p>
    <w:p w14:paraId="0000003E" w14:textId="6A5DB349" w:rsidR="00CC781C" w:rsidRDefault="00EA37E7" w:rsidP="00A329A7">
      <w:pPr>
        <w:numPr>
          <w:ilvl w:val="1"/>
          <w:numId w:val="3"/>
        </w:numPr>
        <w:pBdr>
          <w:top w:val="nil"/>
          <w:left w:val="nil"/>
          <w:bottom w:val="nil"/>
          <w:right w:val="nil"/>
          <w:between w:val="nil"/>
        </w:pBdr>
        <w:tabs>
          <w:tab w:val="left" w:pos="1307"/>
        </w:tabs>
        <w:ind w:left="1077" w:hanging="357"/>
        <w:jc w:val="both"/>
      </w:pPr>
      <w:r w:rsidRPr="00951B6C">
        <w:rPr>
          <w:b/>
          <w:bCs/>
        </w:rPr>
        <w:t>Le réseau national</w:t>
      </w:r>
      <w:r>
        <w:t xml:space="preserve"> </w:t>
      </w:r>
      <w:r w:rsidR="00BE0771">
        <w:t xml:space="preserve">est </w:t>
      </w:r>
      <w:r>
        <w:t xml:space="preserve">l’a.f.c.c.r.e en </w:t>
      </w:r>
      <w:r w:rsidR="00BE0771">
        <w:t>France. Il</w:t>
      </w:r>
      <w:r>
        <w:t xml:space="preserve"> assure la promotion du dispositif, notamment via l’organisation de séminaires et de réunions d’informations</w:t>
      </w:r>
      <w:r w:rsidR="00A329A7">
        <w:t xml:space="preserve">. </w:t>
      </w:r>
      <w:r w:rsidR="003C3B40">
        <w:t xml:space="preserve">Accès aux webinaires de présentations : </w:t>
      </w:r>
      <w:hyperlink r:id="rId13" w:history="1">
        <w:r w:rsidR="003C3B40" w:rsidRPr="00F34E32">
          <w:rPr>
            <w:rStyle w:val="Lienhypertexte"/>
          </w:rPr>
          <w:t>https://www.eucityfacility.eu/support-at-national-level.html</w:t>
        </w:r>
      </w:hyperlink>
      <w:r w:rsidR="003C3B40">
        <w:t xml:space="preserve"> </w:t>
      </w:r>
      <w:r w:rsidR="00A329A7">
        <w:t xml:space="preserve"> </w:t>
      </w:r>
    </w:p>
    <w:p w14:paraId="60D7CAB7" w14:textId="72076995" w:rsidR="00A329A7" w:rsidRPr="00EA37E7" w:rsidRDefault="00A329A7" w:rsidP="00C84FE0">
      <w:pPr>
        <w:numPr>
          <w:ilvl w:val="1"/>
          <w:numId w:val="3"/>
        </w:numPr>
        <w:pBdr>
          <w:top w:val="nil"/>
          <w:left w:val="nil"/>
          <w:bottom w:val="nil"/>
          <w:right w:val="nil"/>
          <w:between w:val="nil"/>
        </w:pBdr>
        <w:tabs>
          <w:tab w:val="left" w:pos="1307"/>
        </w:tabs>
        <w:spacing w:after="120"/>
        <w:ind w:left="1077" w:hanging="357"/>
        <w:jc w:val="both"/>
      </w:pPr>
      <w:r w:rsidRPr="00951B6C">
        <w:rPr>
          <w:b/>
          <w:bCs/>
        </w:rPr>
        <w:t>Le service d'assistance</w:t>
      </w:r>
      <w:r>
        <w:t xml:space="preserve"> (« Helpdesk »)</w:t>
      </w:r>
      <w:r w:rsidRPr="00A329A7">
        <w:t xml:space="preserve"> est un point de contact unique qui aide les candidats potentiels, les bénéficiaires et les experts nationaux de l'EUCF en leur fournissant les informations requises. </w:t>
      </w:r>
      <w:r>
        <w:t xml:space="preserve">Contact : </w:t>
      </w:r>
      <w:hyperlink r:id="rId14" w:history="1">
        <w:r w:rsidR="003C3B40" w:rsidRPr="00F34E32">
          <w:rPr>
            <w:rStyle w:val="Lienhypertexte"/>
          </w:rPr>
          <w:t>https://www.eucityfacility.eu/support/helpdesk.html</w:t>
        </w:r>
      </w:hyperlink>
      <w:r w:rsidR="003C3B40">
        <w:t xml:space="preserve"> </w:t>
      </w:r>
    </w:p>
    <w:p w14:paraId="0000003F" w14:textId="4FA3D13C" w:rsidR="00CC781C" w:rsidRDefault="002F3160" w:rsidP="002F3160">
      <w:pPr>
        <w:numPr>
          <w:ilvl w:val="0"/>
          <w:numId w:val="3"/>
        </w:numPr>
        <w:pBdr>
          <w:top w:val="nil"/>
          <w:left w:val="nil"/>
          <w:bottom w:val="nil"/>
          <w:right w:val="nil"/>
          <w:between w:val="nil"/>
        </w:pBdr>
        <w:tabs>
          <w:tab w:val="left" w:pos="1307"/>
        </w:tabs>
        <w:spacing w:after="120"/>
        <w:ind w:left="357" w:hanging="357"/>
        <w:jc w:val="both"/>
      </w:pPr>
      <w:r>
        <w:t xml:space="preserve">Calendrier des appels à projets : </w:t>
      </w:r>
    </w:p>
    <w:tbl>
      <w:tblPr>
        <w:tblStyle w:val="TableauGrille4-Accentuation4"/>
        <w:tblW w:w="0" w:type="auto"/>
        <w:tblLook w:val="04A0" w:firstRow="1" w:lastRow="0" w:firstColumn="1" w:lastColumn="0" w:noHBand="0" w:noVBand="1"/>
      </w:tblPr>
      <w:tblGrid>
        <w:gridCol w:w="3281"/>
        <w:gridCol w:w="3463"/>
        <w:gridCol w:w="3027"/>
      </w:tblGrid>
      <w:tr w:rsidR="005A76F4" w14:paraId="57A1A19F" w14:textId="289D8DA9" w:rsidTr="005A76F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81" w:type="dxa"/>
          </w:tcPr>
          <w:p w14:paraId="6BC9FC4D" w14:textId="77777777" w:rsidR="005A76F4" w:rsidRDefault="005A76F4" w:rsidP="00FB6063">
            <w:pPr>
              <w:tabs>
                <w:tab w:val="left" w:pos="1307"/>
              </w:tabs>
              <w:jc w:val="center"/>
            </w:pPr>
            <w:r>
              <w:t>Appel à projets</w:t>
            </w:r>
          </w:p>
        </w:tc>
        <w:tc>
          <w:tcPr>
            <w:tcW w:w="3463" w:type="dxa"/>
          </w:tcPr>
          <w:p w14:paraId="3EE0F847" w14:textId="77777777" w:rsidR="005A76F4" w:rsidRDefault="005A76F4" w:rsidP="00FB6063">
            <w:pPr>
              <w:tabs>
                <w:tab w:val="left" w:pos="1307"/>
              </w:tabs>
              <w:jc w:val="center"/>
              <w:cnfStyle w:val="100000000000" w:firstRow="1" w:lastRow="0" w:firstColumn="0" w:lastColumn="0" w:oddVBand="0" w:evenVBand="0" w:oddHBand="0" w:evenHBand="0" w:firstRowFirstColumn="0" w:firstRowLastColumn="0" w:lastRowFirstColumn="0" w:lastRowLastColumn="0"/>
            </w:pPr>
            <w:r>
              <w:t>Périodes de candidature</w:t>
            </w:r>
          </w:p>
        </w:tc>
        <w:tc>
          <w:tcPr>
            <w:tcW w:w="3027" w:type="dxa"/>
          </w:tcPr>
          <w:p w14:paraId="3F50523A" w14:textId="5F89B08A" w:rsidR="005A76F4" w:rsidRDefault="005A76F4" w:rsidP="00FB6063">
            <w:pPr>
              <w:tabs>
                <w:tab w:val="left" w:pos="1307"/>
              </w:tabs>
              <w:jc w:val="center"/>
              <w:cnfStyle w:val="100000000000" w:firstRow="1" w:lastRow="0" w:firstColumn="0" w:lastColumn="0" w:oddVBand="0" w:evenVBand="0" w:oddHBand="0" w:evenHBand="0" w:firstRowFirstColumn="0" w:firstRowLastColumn="0" w:lastRowFirstColumn="0" w:lastRowLastColumn="0"/>
            </w:pPr>
            <w:r>
              <w:t>Nombre de projets retenus (pour la région Nord et Ouest)</w:t>
            </w:r>
          </w:p>
        </w:tc>
      </w:tr>
      <w:tr w:rsidR="005A76F4" w:rsidRPr="00E63537" w14:paraId="4573D848" w14:textId="076F6001" w:rsidTr="005A76F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81" w:type="dxa"/>
          </w:tcPr>
          <w:p w14:paraId="6EC224D4" w14:textId="77777777" w:rsidR="005A76F4" w:rsidRPr="00E63537" w:rsidRDefault="005A76F4" w:rsidP="00FB6063">
            <w:pPr>
              <w:tabs>
                <w:tab w:val="left" w:pos="1307"/>
              </w:tabs>
              <w:jc w:val="center"/>
              <w:rPr>
                <w:b w:val="0"/>
                <w:bCs w:val="0"/>
              </w:rPr>
            </w:pPr>
            <w:r w:rsidRPr="00E63537">
              <w:rPr>
                <w:b w:val="0"/>
                <w:bCs w:val="0"/>
              </w:rPr>
              <w:t>1</w:t>
            </w:r>
            <w:r w:rsidRPr="00E63537">
              <w:rPr>
                <w:b w:val="0"/>
                <w:bCs w:val="0"/>
                <w:vertAlign w:val="superscript"/>
              </w:rPr>
              <w:t>er</w:t>
            </w:r>
            <w:r w:rsidRPr="00E63537">
              <w:rPr>
                <w:b w:val="0"/>
                <w:bCs w:val="0"/>
              </w:rPr>
              <w:t xml:space="preserve"> appel à projets</w:t>
            </w:r>
          </w:p>
        </w:tc>
        <w:tc>
          <w:tcPr>
            <w:tcW w:w="3463" w:type="dxa"/>
          </w:tcPr>
          <w:p w14:paraId="290BD194" w14:textId="77777777" w:rsidR="005A76F4" w:rsidRPr="00E63537" w:rsidRDefault="005A76F4" w:rsidP="00FB6063">
            <w:pPr>
              <w:tabs>
                <w:tab w:val="left" w:pos="1307"/>
              </w:tabs>
              <w:jc w:val="center"/>
              <w:cnfStyle w:val="000000100000" w:firstRow="0" w:lastRow="0" w:firstColumn="0" w:lastColumn="0" w:oddVBand="0" w:evenVBand="0" w:oddHBand="1" w:evenHBand="0" w:firstRowFirstColumn="0" w:firstRowLastColumn="0" w:lastRowFirstColumn="0" w:lastRowLastColumn="0"/>
            </w:pPr>
            <w:r w:rsidRPr="00E63537">
              <w:t xml:space="preserve">25 </w:t>
            </w:r>
            <w:r>
              <w:t>M</w:t>
            </w:r>
            <w:r w:rsidRPr="00E63537">
              <w:t xml:space="preserve">ai 2020 – 2 </w:t>
            </w:r>
            <w:r>
              <w:t>O</w:t>
            </w:r>
            <w:r w:rsidRPr="00E63537">
              <w:t>ctobre 2020</w:t>
            </w:r>
          </w:p>
        </w:tc>
        <w:tc>
          <w:tcPr>
            <w:tcW w:w="3027" w:type="dxa"/>
          </w:tcPr>
          <w:p w14:paraId="56C2AD2D" w14:textId="0BB83732" w:rsidR="005A76F4" w:rsidRPr="00E63537" w:rsidRDefault="005A76F4" w:rsidP="00FB6063">
            <w:pPr>
              <w:tabs>
                <w:tab w:val="left" w:pos="1307"/>
              </w:tabs>
              <w:jc w:val="center"/>
              <w:cnfStyle w:val="000000100000" w:firstRow="0" w:lastRow="0" w:firstColumn="0" w:lastColumn="0" w:oddVBand="0" w:evenVBand="0" w:oddHBand="1" w:evenHBand="0" w:firstRowFirstColumn="0" w:firstRowLastColumn="0" w:lastRowFirstColumn="0" w:lastRowLastColumn="0"/>
            </w:pPr>
            <w:r>
              <w:t>11 projets</w:t>
            </w:r>
          </w:p>
        </w:tc>
      </w:tr>
      <w:tr w:rsidR="005A76F4" w:rsidRPr="00E63537" w14:paraId="499CADFB" w14:textId="057A74A3" w:rsidTr="005A76F4">
        <w:tc>
          <w:tcPr>
            <w:cnfStyle w:val="001000000000" w:firstRow="0" w:lastRow="0" w:firstColumn="1" w:lastColumn="0" w:oddVBand="0" w:evenVBand="0" w:oddHBand="0" w:evenHBand="0" w:firstRowFirstColumn="0" w:firstRowLastColumn="0" w:lastRowFirstColumn="0" w:lastRowLastColumn="0"/>
            <w:tcW w:w="3281" w:type="dxa"/>
          </w:tcPr>
          <w:p w14:paraId="083D20DF" w14:textId="77777777" w:rsidR="005A76F4" w:rsidRPr="00E63537" w:rsidRDefault="005A76F4" w:rsidP="00FB6063">
            <w:pPr>
              <w:tabs>
                <w:tab w:val="left" w:pos="1307"/>
              </w:tabs>
              <w:jc w:val="center"/>
              <w:rPr>
                <w:b w:val="0"/>
                <w:bCs w:val="0"/>
              </w:rPr>
            </w:pPr>
            <w:r w:rsidRPr="00E63537">
              <w:rPr>
                <w:b w:val="0"/>
                <w:bCs w:val="0"/>
              </w:rPr>
              <w:t>2</w:t>
            </w:r>
            <w:r w:rsidRPr="00E63537">
              <w:rPr>
                <w:b w:val="0"/>
                <w:bCs w:val="0"/>
                <w:vertAlign w:val="superscript"/>
              </w:rPr>
              <w:t>ème</w:t>
            </w:r>
            <w:r w:rsidRPr="00E63537">
              <w:rPr>
                <w:b w:val="0"/>
                <w:bCs w:val="0"/>
              </w:rPr>
              <w:t xml:space="preserve"> appel à projets</w:t>
            </w:r>
          </w:p>
        </w:tc>
        <w:tc>
          <w:tcPr>
            <w:tcW w:w="3463" w:type="dxa"/>
          </w:tcPr>
          <w:p w14:paraId="2C22AEE7" w14:textId="77777777" w:rsidR="005A76F4" w:rsidRPr="00E63537" w:rsidRDefault="005A76F4" w:rsidP="00FB6063">
            <w:pPr>
              <w:tabs>
                <w:tab w:val="left" w:pos="1307"/>
              </w:tabs>
              <w:jc w:val="center"/>
              <w:cnfStyle w:val="000000000000" w:firstRow="0" w:lastRow="0" w:firstColumn="0" w:lastColumn="0" w:oddVBand="0" w:evenVBand="0" w:oddHBand="0" w:evenHBand="0" w:firstRowFirstColumn="0" w:firstRowLastColumn="0" w:lastRowFirstColumn="0" w:lastRowLastColumn="0"/>
            </w:pPr>
            <w:r>
              <w:t>29 Mars 2021 – 31 Mai 2021</w:t>
            </w:r>
          </w:p>
        </w:tc>
        <w:tc>
          <w:tcPr>
            <w:tcW w:w="3027" w:type="dxa"/>
          </w:tcPr>
          <w:p w14:paraId="45D94A29" w14:textId="3C35958F" w:rsidR="005A76F4" w:rsidRDefault="005A76F4" w:rsidP="00FB6063">
            <w:pPr>
              <w:tabs>
                <w:tab w:val="left" w:pos="1307"/>
              </w:tabs>
              <w:jc w:val="center"/>
              <w:cnfStyle w:val="000000000000" w:firstRow="0" w:lastRow="0" w:firstColumn="0" w:lastColumn="0" w:oddVBand="0" w:evenVBand="0" w:oddHBand="0" w:evenHBand="0" w:firstRowFirstColumn="0" w:firstRowLastColumn="0" w:lastRowFirstColumn="0" w:lastRowLastColumn="0"/>
            </w:pPr>
            <w:r>
              <w:t>24 projets</w:t>
            </w:r>
          </w:p>
        </w:tc>
      </w:tr>
      <w:tr w:rsidR="005A76F4" w:rsidRPr="00E63537" w14:paraId="06C72100" w14:textId="3BFEE288" w:rsidTr="005A76F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81" w:type="dxa"/>
          </w:tcPr>
          <w:p w14:paraId="1ACB5CC3" w14:textId="77777777" w:rsidR="005A76F4" w:rsidRPr="00E63537" w:rsidRDefault="005A76F4" w:rsidP="00FB6063">
            <w:pPr>
              <w:tabs>
                <w:tab w:val="left" w:pos="1307"/>
              </w:tabs>
              <w:jc w:val="center"/>
              <w:rPr>
                <w:b w:val="0"/>
                <w:bCs w:val="0"/>
              </w:rPr>
            </w:pPr>
            <w:r w:rsidRPr="00E63537">
              <w:rPr>
                <w:b w:val="0"/>
                <w:bCs w:val="0"/>
              </w:rPr>
              <w:t>3</w:t>
            </w:r>
            <w:r w:rsidRPr="00E63537">
              <w:rPr>
                <w:b w:val="0"/>
                <w:bCs w:val="0"/>
                <w:vertAlign w:val="superscript"/>
              </w:rPr>
              <w:t>ème</w:t>
            </w:r>
            <w:r w:rsidRPr="00E63537">
              <w:rPr>
                <w:b w:val="0"/>
                <w:bCs w:val="0"/>
              </w:rPr>
              <w:t xml:space="preserve"> appel à projets</w:t>
            </w:r>
          </w:p>
        </w:tc>
        <w:tc>
          <w:tcPr>
            <w:tcW w:w="3463" w:type="dxa"/>
          </w:tcPr>
          <w:p w14:paraId="06B271DF" w14:textId="77777777" w:rsidR="005A76F4" w:rsidRPr="00E63537" w:rsidRDefault="005A76F4" w:rsidP="00FB6063">
            <w:pPr>
              <w:tabs>
                <w:tab w:val="left" w:pos="1307"/>
              </w:tabs>
              <w:jc w:val="center"/>
              <w:cnfStyle w:val="000000100000" w:firstRow="0" w:lastRow="0" w:firstColumn="0" w:lastColumn="0" w:oddVBand="0" w:evenVBand="0" w:oddHBand="1" w:evenHBand="0" w:firstRowFirstColumn="0" w:firstRowLastColumn="0" w:lastRowFirstColumn="0" w:lastRowLastColumn="0"/>
            </w:pPr>
            <w:r>
              <w:t>Octobre – Novembre 2021</w:t>
            </w:r>
          </w:p>
        </w:tc>
        <w:tc>
          <w:tcPr>
            <w:tcW w:w="3027" w:type="dxa"/>
          </w:tcPr>
          <w:p w14:paraId="3C455ADE" w14:textId="338DFE4D" w:rsidR="005A76F4" w:rsidRDefault="005A76F4" w:rsidP="00FB6063">
            <w:pPr>
              <w:tabs>
                <w:tab w:val="left" w:pos="1307"/>
              </w:tabs>
              <w:jc w:val="center"/>
              <w:cnfStyle w:val="000000100000" w:firstRow="0" w:lastRow="0" w:firstColumn="0" w:lastColumn="0" w:oddVBand="0" w:evenVBand="0" w:oddHBand="1" w:evenHBand="0" w:firstRowFirstColumn="0" w:firstRowLastColumn="0" w:lastRowFirstColumn="0" w:lastRowLastColumn="0"/>
            </w:pPr>
            <w:r>
              <w:t>23 projets</w:t>
            </w:r>
          </w:p>
        </w:tc>
      </w:tr>
      <w:tr w:rsidR="005A76F4" w:rsidRPr="00E63537" w14:paraId="7855E0A7" w14:textId="4BBBB9DC" w:rsidTr="005A76F4">
        <w:tc>
          <w:tcPr>
            <w:cnfStyle w:val="001000000000" w:firstRow="0" w:lastRow="0" w:firstColumn="1" w:lastColumn="0" w:oddVBand="0" w:evenVBand="0" w:oddHBand="0" w:evenHBand="0" w:firstRowFirstColumn="0" w:firstRowLastColumn="0" w:lastRowFirstColumn="0" w:lastRowLastColumn="0"/>
            <w:tcW w:w="3281" w:type="dxa"/>
          </w:tcPr>
          <w:p w14:paraId="2049BE31" w14:textId="77777777" w:rsidR="005A76F4" w:rsidRPr="00E63537" w:rsidRDefault="005A76F4" w:rsidP="00FB6063">
            <w:pPr>
              <w:tabs>
                <w:tab w:val="left" w:pos="1307"/>
              </w:tabs>
              <w:jc w:val="center"/>
              <w:rPr>
                <w:b w:val="0"/>
                <w:bCs w:val="0"/>
              </w:rPr>
            </w:pPr>
            <w:r w:rsidRPr="00E63537">
              <w:rPr>
                <w:b w:val="0"/>
                <w:bCs w:val="0"/>
              </w:rPr>
              <w:t>4</w:t>
            </w:r>
            <w:r w:rsidRPr="00E63537">
              <w:rPr>
                <w:b w:val="0"/>
                <w:bCs w:val="0"/>
                <w:vertAlign w:val="superscript"/>
              </w:rPr>
              <w:t>ème</w:t>
            </w:r>
            <w:r w:rsidRPr="00E63537">
              <w:rPr>
                <w:b w:val="0"/>
                <w:bCs w:val="0"/>
              </w:rPr>
              <w:t xml:space="preserve"> appel à projets</w:t>
            </w:r>
          </w:p>
        </w:tc>
        <w:tc>
          <w:tcPr>
            <w:tcW w:w="3463" w:type="dxa"/>
          </w:tcPr>
          <w:p w14:paraId="48121253" w14:textId="77777777" w:rsidR="005A76F4" w:rsidRPr="00E63537" w:rsidRDefault="005A76F4" w:rsidP="00FB6063">
            <w:pPr>
              <w:tabs>
                <w:tab w:val="left" w:pos="1307"/>
              </w:tabs>
              <w:jc w:val="center"/>
              <w:cnfStyle w:val="000000000000" w:firstRow="0" w:lastRow="0" w:firstColumn="0" w:lastColumn="0" w:oddVBand="0" w:evenVBand="0" w:oddHBand="0" w:evenHBand="0" w:firstRowFirstColumn="0" w:firstRowLastColumn="0" w:lastRowFirstColumn="0" w:lastRowLastColumn="0"/>
            </w:pPr>
            <w:r>
              <w:t>Mai – Juin 2022</w:t>
            </w:r>
          </w:p>
        </w:tc>
        <w:tc>
          <w:tcPr>
            <w:tcW w:w="3027" w:type="dxa"/>
          </w:tcPr>
          <w:p w14:paraId="7BD60423" w14:textId="121D5EAF" w:rsidR="005A76F4" w:rsidRDefault="005A76F4" w:rsidP="00FB6063">
            <w:pPr>
              <w:tabs>
                <w:tab w:val="left" w:pos="1307"/>
              </w:tabs>
              <w:jc w:val="center"/>
              <w:cnfStyle w:val="000000000000" w:firstRow="0" w:lastRow="0" w:firstColumn="0" w:lastColumn="0" w:oddVBand="0" w:evenVBand="0" w:oddHBand="0" w:evenHBand="0" w:firstRowFirstColumn="0" w:firstRowLastColumn="0" w:lastRowFirstColumn="0" w:lastRowLastColumn="0"/>
            </w:pPr>
            <w:r>
              <w:t>18 projets</w:t>
            </w:r>
          </w:p>
        </w:tc>
      </w:tr>
    </w:tbl>
    <w:p w14:paraId="7C4A7FC2" w14:textId="66CB41E3" w:rsidR="00B34036" w:rsidRDefault="008A2D1C" w:rsidP="002F3160">
      <w:pPr>
        <w:numPr>
          <w:ilvl w:val="0"/>
          <w:numId w:val="3"/>
        </w:numPr>
        <w:pBdr>
          <w:top w:val="nil"/>
          <w:left w:val="nil"/>
          <w:bottom w:val="nil"/>
          <w:right w:val="nil"/>
          <w:between w:val="nil"/>
        </w:pBdr>
        <w:tabs>
          <w:tab w:val="left" w:pos="1307"/>
        </w:tabs>
        <w:spacing w:before="120" w:after="120"/>
        <w:ind w:left="357" w:hanging="357"/>
        <w:jc w:val="both"/>
      </w:pPr>
      <w:r>
        <w:t>A titre d’exemple, vous pouvez consulter le formulaire de candidature du 1</w:t>
      </w:r>
      <w:r w:rsidRPr="008A2D1C">
        <w:rPr>
          <w:vertAlign w:val="superscript"/>
        </w:rPr>
        <w:t>er</w:t>
      </w:r>
      <w:r>
        <w:t xml:space="preserve"> appel à projet</w:t>
      </w:r>
      <w:r w:rsidR="00BE0771">
        <w:t>s</w:t>
      </w:r>
      <w:r>
        <w:t xml:space="preserve"> en cliquant </w:t>
      </w:r>
      <w:hyperlink r:id="rId15" w:history="1">
        <w:r w:rsidRPr="008A2D1C">
          <w:rPr>
            <w:rStyle w:val="Lienhypertexte"/>
          </w:rPr>
          <w:t>ici</w:t>
        </w:r>
        <w:r w:rsidRPr="00A329A7">
          <w:rPr>
            <w:rStyle w:val="Lienhypertexte"/>
            <w:u w:val="none"/>
          </w:rPr>
          <w:t> </w:t>
        </w:r>
      </w:hyperlink>
      <w:r>
        <w:t>(très peu de modifications lors du second appel)</w:t>
      </w:r>
      <w:r w:rsidR="00BE0771">
        <w:t>.</w:t>
      </w:r>
    </w:p>
    <w:sectPr w:rsidR="00B34036">
      <w:headerReference w:type="default" r:id="rId16"/>
      <w:footerReference w:type="even" r:id="rId17"/>
      <w:footerReference w:type="default" r:id="rId18"/>
      <w:pgSz w:w="11900" w:h="16840"/>
      <w:pgMar w:top="1276" w:right="985" w:bottom="851" w:left="1134"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108B03" w14:textId="77777777" w:rsidR="009F1C7A" w:rsidRDefault="009F1C7A">
      <w:r>
        <w:separator/>
      </w:r>
    </w:p>
  </w:endnote>
  <w:endnote w:type="continuationSeparator" w:id="0">
    <w:p w14:paraId="5C3A3A0A" w14:textId="77777777" w:rsidR="009F1C7A" w:rsidRDefault="009F1C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Noto Sans Symbols">
    <w:altName w:val="Calibri"/>
    <w:charset w:val="00"/>
    <w:family w:val="auto"/>
    <w:pitch w:val="default"/>
  </w:font>
  <w:font w:name="Webdings">
    <w:panose1 w:val="05030102010509060703"/>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mo">
    <w:altName w:val="Calibri"/>
    <w:charset w:val="00"/>
    <w:family w:val="swiss"/>
    <w:pitch w:val="variable"/>
    <w:sig w:usb0="E0000AFF" w:usb1="500078FF" w:usb2="00000021" w:usb3="00000000" w:csb0="000001BF" w:csb1="00000000"/>
  </w:font>
  <w:font w:name="Cambria">
    <w:panose1 w:val="02040503050406030204"/>
    <w:charset w:val="00"/>
    <w:family w:val="roman"/>
    <w:pitch w:val="variable"/>
    <w:sig w:usb0="E00006FF" w:usb1="420024FF" w:usb2="02000000" w:usb3="00000000" w:csb0="0000019F" w:csb1="00000000"/>
  </w:font>
  <w:font w:name="Times New Roman (Corps CS)">
    <w:altName w:val="Times New Roman"/>
    <w:charset w:val="00"/>
    <w:family w:val="roman"/>
    <w:pitch w:val="default"/>
  </w:font>
  <w:font w:name="Trajan Pro">
    <w:altName w:val="Cambria"/>
    <w:panose1 w:val="00000000000000000000"/>
    <w:charset w:val="4D"/>
    <w:family w:val="roman"/>
    <w:notTrueType/>
    <w:pitch w:val="variable"/>
    <w:sig w:usb0="00000007" w:usb1="00000000" w:usb2="00000000" w:usb3="00000000" w:csb0="00000093" w:csb1="00000000"/>
  </w:font>
  <w:font w:name="Lucida Grande">
    <w:altName w:val="Segoe UI"/>
    <w:charset w:val="00"/>
    <w:family w:val="swiss"/>
    <w:pitch w:val="variable"/>
    <w:sig w:usb0="E1000AEF"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 w:name="Orator Std">
    <w:altName w:val="Lucida Sans Typewriter"/>
    <w:panose1 w:val="00000000000000000000"/>
    <w:charset w:val="4D"/>
    <w:family w:val="modern"/>
    <w:notTrueType/>
    <w:pitch w:val="fixed"/>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46" w14:textId="77777777" w:rsidR="00FB6063" w:rsidRDefault="00FB6063">
    <w:pPr>
      <w:pBdr>
        <w:top w:val="nil"/>
        <w:left w:val="nil"/>
        <w:bottom w:val="nil"/>
        <w:right w:val="nil"/>
        <w:between w:val="nil"/>
      </w:pBdr>
      <w:tabs>
        <w:tab w:val="center" w:pos="4536"/>
        <w:tab w:val="right" w:pos="9072"/>
      </w:tabs>
      <w:jc w:val="right"/>
      <w:rPr>
        <w:color w:val="000000"/>
      </w:rPr>
    </w:pPr>
    <w:r>
      <w:rPr>
        <w:color w:val="000000"/>
      </w:rPr>
      <w:fldChar w:fldCharType="begin"/>
    </w:r>
    <w:r>
      <w:rPr>
        <w:color w:val="000000"/>
      </w:rPr>
      <w:instrText>PAGE</w:instrText>
    </w:r>
    <w:r>
      <w:rPr>
        <w:color w:val="000000"/>
      </w:rPr>
      <w:fldChar w:fldCharType="end"/>
    </w:r>
  </w:p>
  <w:p w14:paraId="00000047" w14:textId="77777777" w:rsidR="00FB6063" w:rsidRDefault="00FB6063">
    <w:pPr>
      <w:pBdr>
        <w:top w:val="nil"/>
        <w:left w:val="nil"/>
        <w:bottom w:val="nil"/>
        <w:right w:val="nil"/>
        <w:between w:val="nil"/>
      </w:pBdr>
      <w:tabs>
        <w:tab w:val="center" w:pos="4536"/>
        <w:tab w:val="right" w:pos="9072"/>
      </w:tabs>
      <w:ind w:right="360"/>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48" w14:textId="2B1C0C0D" w:rsidR="00FB6063" w:rsidRDefault="00FB6063">
    <w:pPr>
      <w:pBdr>
        <w:top w:val="nil"/>
        <w:left w:val="nil"/>
        <w:bottom w:val="nil"/>
        <w:right w:val="nil"/>
        <w:between w:val="nil"/>
      </w:pBdr>
      <w:tabs>
        <w:tab w:val="center" w:pos="4536"/>
        <w:tab w:val="right" w:pos="9072"/>
      </w:tabs>
      <w:jc w:val="right"/>
      <w:rPr>
        <w:color w:val="000000"/>
      </w:rPr>
    </w:pPr>
    <w:r>
      <w:rPr>
        <w:color w:val="000000"/>
      </w:rPr>
      <w:fldChar w:fldCharType="begin"/>
    </w:r>
    <w:r>
      <w:rPr>
        <w:color w:val="000000"/>
      </w:rPr>
      <w:instrText>PAGE</w:instrText>
    </w:r>
    <w:r>
      <w:rPr>
        <w:color w:val="000000"/>
      </w:rPr>
      <w:fldChar w:fldCharType="separate"/>
    </w:r>
    <w:r>
      <w:rPr>
        <w:noProof/>
        <w:color w:val="000000"/>
      </w:rPr>
      <w:t>1</w:t>
    </w:r>
    <w:r>
      <w:rPr>
        <w:color w:val="000000"/>
      </w:rPr>
      <w:fldChar w:fldCharType="end"/>
    </w:r>
  </w:p>
  <w:tbl>
    <w:tblPr>
      <w:tblStyle w:val="a0"/>
      <w:tblW w:w="9781" w:type="dxa"/>
      <w:tblInd w:w="0" w:type="dxa"/>
      <w:tblBorders>
        <w:top w:val="nil"/>
        <w:left w:val="nil"/>
        <w:bottom w:val="nil"/>
        <w:right w:val="nil"/>
        <w:insideH w:val="single" w:sz="18" w:space="0" w:color="000000"/>
        <w:insideV w:val="single" w:sz="12" w:space="0" w:color="000000"/>
      </w:tblBorders>
      <w:tblLayout w:type="fixed"/>
      <w:tblLook w:val="0400" w:firstRow="0" w:lastRow="0" w:firstColumn="0" w:lastColumn="0" w:noHBand="0" w:noVBand="1"/>
    </w:tblPr>
    <w:tblGrid>
      <w:gridCol w:w="1661"/>
      <w:gridCol w:w="6166"/>
      <w:gridCol w:w="1954"/>
    </w:tblGrid>
    <w:tr w:rsidR="00FB6063" w14:paraId="4046B859" w14:textId="77777777">
      <w:tc>
        <w:tcPr>
          <w:tcW w:w="1661" w:type="dxa"/>
        </w:tcPr>
        <w:p w14:paraId="00000049" w14:textId="77777777" w:rsidR="00FB6063" w:rsidRDefault="00FB6063">
          <w:pPr>
            <w:pBdr>
              <w:top w:val="nil"/>
              <w:left w:val="nil"/>
              <w:bottom w:val="nil"/>
              <w:right w:val="nil"/>
              <w:between w:val="nil"/>
            </w:pBdr>
            <w:tabs>
              <w:tab w:val="center" w:pos="4536"/>
              <w:tab w:val="right" w:pos="9072"/>
            </w:tabs>
            <w:ind w:right="360"/>
            <w:jc w:val="right"/>
            <w:rPr>
              <w:color w:val="000000"/>
              <w:sz w:val="20"/>
              <w:szCs w:val="20"/>
            </w:rPr>
          </w:pPr>
          <w:r>
            <w:rPr>
              <w:rFonts w:ascii="Orator Std" w:eastAsia="Orator Std" w:hAnsi="Orator Std" w:cs="Orator Std"/>
              <w:color w:val="5F497A"/>
              <w:sz w:val="20"/>
              <w:szCs w:val="20"/>
            </w:rPr>
            <w:t>Enviropea</w:t>
          </w:r>
        </w:p>
      </w:tc>
      <w:tc>
        <w:tcPr>
          <w:tcW w:w="6166" w:type="dxa"/>
        </w:tcPr>
        <w:p w14:paraId="0000004A" w14:textId="77777777" w:rsidR="00FB6063" w:rsidRDefault="00FB6063">
          <w:pPr>
            <w:pBdr>
              <w:top w:val="nil"/>
              <w:left w:val="nil"/>
              <w:bottom w:val="nil"/>
              <w:right w:val="nil"/>
              <w:between w:val="nil"/>
            </w:pBdr>
            <w:tabs>
              <w:tab w:val="center" w:pos="4536"/>
              <w:tab w:val="right" w:pos="9072"/>
            </w:tabs>
            <w:ind w:right="360"/>
            <w:jc w:val="right"/>
            <w:rPr>
              <w:color w:val="000000"/>
              <w:sz w:val="20"/>
              <w:szCs w:val="20"/>
            </w:rPr>
          </w:pPr>
          <w:r>
            <w:rPr>
              <w:rFonts w:ascii="Orator Std" w:eastAsia="Orator Std" w:hAnsi="Orator Std" w:cs="Orator Std"/>
              <w:color w:val="5F497A"/>
              <w:sz w:val="20"/>
              <w:szCs w:val="20"/>
            </w:rPr>
            <w:t>Mobilisation fonds européens - Grand Est</w:t>
          </w:r>
        </w:p>
      </w:tc>
      <w:tc>
        <w:tcPr>
          <w:tcW w:w="1954" w:type="dxa"/>
          <w:shd w:val="clear" w:color="auto" w:fill="DFDFFF"/>
        </w:tcPr>
        <w:p w14:paraId="0000004B" w14:textId="77777777" w:rsidR="00FB6063" w:rsidRDefault="00FB6063">
          <w:pPr>
            <w:pBdr>
              <w:top w:val="nil"/>
              <w:left w:val="nil"/>
              <w:bottom w:val="nil"/>
              <w:right w:val="nil"/>
              <w:between w:val="nil"/>
            </w:pBdr>
            <w:tabs>
              <w:tab w:val="center" w:pos="4536"/>
              <w:tab w:val="right" w:pos="9072"/>
            </w:tabs>
            <w:ind w:right="360"/>
            <w:rPr>
              <w:color w:val="000000"/>
            </w:rPr>
          </w:pPr>
          <w:r>
            <w:rPr>
              <w:color w:val="000000"/>
            </w:rPr>
            <w:t>2021</w:t>
          </w:r>
        </w:p>
      </w:tc>
    </w:tr>
  </w:tbl>
  <w:p w14:paraId="0000004C" w14:textId="77777777" w:rsidR="00FB6063" w:rsidRDefault="00FB6063">
    <w:pPr>
      <w:pBdr>
        <w:top w:val="nil"/>
        <w:left w:val="nil"/>
        <w:bottom w:val="nil"/>
        <w:right w:val="nil"/>
        <w:between w:val="nil"/>
      </w:pBdr>
      <w:tabs>
        <w:tab w:val="center" w:pos="4536"/>
        <w:tab w:val="right" w:pos="9072"/>
      </w:tabs>
      <w:ind w:right="360"/>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F181C0" w14:textId="77777777" w:rsidR="009F1C7A" w:rsidRDefault="009F1C7A">
      <w:r>
        <w:separator/>
      </w:r>
    </w:p>
  </w:footnote>
  <w:footnote w:type="continuationSeparator" w:id="0">
    <w:p w14:paraId="6686F7BE" w14:textId="77777777" w:rsidR="009F1C7A" w:rsidRDefault="009F1C7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45" w14:textId="4836F042" w:rsidR="00FB6063" w:rsidRDefault="00FB6063">
    <w:pPr>
      <w:pBdr>
        <w:top w:val="nil"/>
        <w:left w:val="nil"/>
        <w:bottom w:val="nil"/>
        <w:right w:val="nil"/>
        <w:between w:val="nil"/>
      </w:pBdr>
      <w:tabs>
        <w:tab w:val="center" w:pos="4536"/>
        <w:tab w:val="right" w:pos="9072"/>
      </w:tabs>
      <w:jc w:val="center"/>
      <w:rPr>
        <w:color w:val="000000"/>
      </w:rPr>
    </w:pPr>
    <w:r>
      <w:rPr>
        <w:noProof/>
      </w:rPr>
      <w:drawing>
        <wp:anchor distT="0" distB="0" distL="0" distR="0" simplePos="0" relativeHeight="251659264" behindDoc="0" locked="0" layoutInCell="1" hidden="0" allowOverlap="1" wp14:anchorId="23627090" wp14:editId="0DA71F19">
          <wp:simplePos x="0" y="0"/>
          <wp:positionH relativeFrom="column">
            <wp:posOffset>-697230</wp:posOffset>
          </wp:positionH>
          <wp:positionV relativeFrom="paragraph">
            <wp:posOffset>-396875</wp:posOffset>
          </wp:positionV>
          <wp:extent cx="754380" cy="693420"/>
          <wp:effectExtent l="0" t="0" r="7620" b="0"/>
          <wp:wrapSquare wrapText="bothSides" distT="0" distB="0" distL="0" distR="0"/>
          <wp:docPr id="11" name="image3.jpg" descr="ademe - YouTube"/>
          <wp:cNvGraphicFramePr/>
          <a:graphic xmlns:a="http://schemas.openxmlformats.org/drawingml/2006/main">
            <a:graphicData uri="http://schemas.openxmlformats.org/drawingml/2006/picture">
              <pic:pic xmlns:pic="http://schemas.openxmlformats.org/drawingml/2006/picture">
                <pic:nvPicPr>
                  <pic:cNvPr id="0" name="image3.jpg" descr="ademe - YouTube"/>
                  <pic:cNvPicPr preferRelativeResize="0"/>
                </pic:nvPicPr>
                <pic:blipFill>
                  <a:blip r:embed="rId1"/>
                  <a:srcRect/>
                  <a:stretch>
                    <a:fillRect/>
                  </a:stretch>
                </pic:blipFill>
                <pic:spPr>
                  <a:xfrm>
                    <a:off x="0" y="0"/>
                    <a:ext cx="754380" cy="693420"/>
                  </a:xfrm>
                  <a:prstGeom prst="rect">
                    <a:avLst/>
                  </a:prstGeom>
                  <a:ln/>
                </pic:spPr>
              </pic:pic>
            </a:graphicData>
          </a:graphic>
          <wp14:sizeRelH relativeFrom="margin">
            <wp14:pctWidth>0</wp14:pctWidth>
          </wp14:sizeRelH>
          <wp14:sizeRelV relativeFrom="margin">
            <wp14:pctHeight>0</wp14:pctHeight>
          </wp14:sizeRelV>
        </wp:anchor>
      </w:drawing>
    </w:r>
    <w:r>
      <w:rPr>
        <w:noProof/>
      </w:rPr>
      <w:drawing>
        <wp:anchor distT="0" distB="0" distL="0" distR="0" simplePos="0" relativeHeight="251658240" behindDoc="0" locked="0" layoutInCell="1" hidden="0" allowOverlap="1" wp14:anchorId="38F424DE" wp14:editId="74C56744">
          <wp:simplePos x="0" y="0"/>
          <wp:positionH relativeFrom="column">
            <wp:posOffset>5682153</wp:posOffset>
          </wp:positionH>
          <wp:positionV relativeFrom="paragraph">
            <wp:posOffset>-280669</wp:posOffset>
          </wp:positionV>
          <wp:extent cx="993352" cy="222127"/>
          <wp:effectExtent l="0" t="0" r="0" b="0"/>
          <wp:wrapSquare wrapText="bothSides" distT="0" distB="0" distL="0" distR="0"/>
          <wp:docPr id="10"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2"/>
                  <a:srcRect/>
                  <a:stretch>
                    <a:fillRect/>
                  </a:stretch>
                </pic:blipFill>
                <pic:spPr>
                  <a:xfrm>
                    <a:off x="0" y="0"/>
                    <a:ext cx="993352" cy="222127"/>
                  </a:xfrm>
                  <a:prstGeom prst="rect">
                    <a:avLst/>
                  </a:prstGeom>
                  <a:ln/>
                </pic:spPr>
              </pic:pic>
            </a:graphicData>
          </a:graphic>
        </wp:anchor>
      </w:drawing>
    </w:r>
    <w:r>
      <w:rPr>
        <w:noProof/>
      </w:rPr>
      <w:drawing>
        <wp:anchor distT="0" distB="0" distL="0" distR="0" simplePos="0" relativeHeight="251660288" behindDoc="0" locked="0" layoutInCell="1" hidden="0" allowOverlap="1" wp14:anchorId="1300281A" wp14:editId="080F160F">
          <wp:simplePos x="0" y="0"/>
          <wp:positionH relativeFrom="column">
            <wp:posOffset>58632</wp:posOffset>
          </wp:positionH>
          <wp:positionV relativeFrom="paragraph">
            <wp:posOffset>-238336</wp:posOffset>
          </wp:positionV>
          <wp:extent cx="1286510" cy="424815"/>
          <wp:effectExtent l="0" t="0" r="0" b="0"/>
          <wp:wrapSquare wrapText="bothSides" distT="0" distB="0" distL="0" distR="0"/>
          <wp:docPr id="12" name="image1.jpg" descr="Grand Est: Les meilleures parodies du nouveau logo de la ..."/>
          <wp:cNvGraphicFramePr/>
          <a:graphic xmlns:a="http://schemas.openxmlformats.org/drawingml/2006/main">
            <a:graphicData uri="http://schemas.openxmlformats.org/drawingml/2006/picture">
              <pic:pic xmlns:pic="http://schemas.openxmlformats.org/drawingml/2006/picture">
                <pic:nvPicPr>
                  <pic:cNvPr id="0" name="image1.jpg" descr="Grand Est: Les meilleures parodies du nouveau logo de la ..."/>
                  <pic:cNvPicPr preferRelativeResize="0"/>
                </pic:nvPicPr>
                <pic:blipFill>
                  <a:blip r:embed="rId3"/>
                  <a:srcRect l="16273" t="30577" r="17470" b="35230"/>
                  <a:stretch>
                    <a:fillRect/>
                  </a:stretch>
                </pic:blipFill>
                <pic:spPr>
                  <a:xfrm>
                    <a:off x="0" y="0"/>
                    <a:ext cx="1286510" cy="42481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175CDD"/>
    <w:multiLevelType w:val="multilevel"/>
    <w:tmpl w:val="798ECD32"/>
    <w:lvl w:ilvl="0">
      <w:start w:val="1"/>
      <w:numFmt w:val="bullet"/>
      <w:pStyle w:val="Titre2"/>
      <w:lvlText w:val=""/>
      <w:lvlJc w:val="left"/>
      <w:pPr>
        <w:tabs>
          <w:tab w:val="num" w:pos="1080"/>
        </w:tabs>
        <w:ind w:left="1080" w:hanging="513"/>
      </w:pPr>
      <w:rPr>
        <w:rFonts w:ascii="Wingdings" w:hAnsi="Wingdings" w:hint="default"/>
      </w:rPr>
    </w:lvl>
    <w:lvl w:ilvl="1">
      <w:start w:val="1"/>
      <w:numFmt w:val="decimal"/>
      <w:lvlText w:val="%2."/>
      <w:lvlJc w:val="left"/>
      <w:pPr>
        <w:tabs>
          <w:tab w:val="num" w:pos="1800"/>
        </w:tabs>
        <w:ind w:left="1800" w:hanging="720"/>
      </w:pPr>
      <w:rPr>
        <w:rFonts w:hint="default"/>
      </w:rPr>
    </w:lvl>
    <w:lvl w:ilvl="2">
      <w:start w:val="1"/>
      <w:numFmt w:val="decimal"/>
      <w:lvlText w:val="%3."/>
      <w:lvlJc w:val="left"/>
      <w:pPr>
        <w:tabs>
          <w:tab w:val="num" w:pos="2520"/>
        </w:tabs>
        <w:ind w:left="2520" w:hanging="720"/>
      </w:pPr>
      <w:rPr>
        <w:rFonts w:hint="default"/>
      </w:rPr>
    </w:lvl>
    <w:lvl w:ilvl="3">
      <w:start w:val="1"/>
      <w:numFmt w:val="decimal"/>
      <w:lvlText w:val="%4."/>
      <w:lvlJc w:val="left"/>
      <w:pPr>
        <w:tabs>
          <w:tab w:val="num" w:pos="3240"/>
        </w:tabs>
        <w:ind w:left="3240" w:hanging="720"/>
      </w:pPr>
      <w:rPr>
        <w:rFonts w:hint="default"/>
      </w:rPr>
    </w:lvl>
    <w:lvl w:ilvl="4">
      <w:start w:val="1"/>
      <w:numFmt w:val="decimal"/>
      <w:lvlText w:val="%5."/>
      <w:lvlJc w:val="left"/>
      <w:pPr>
        <w:tabs>
          <w:tab w:val="num" w:pos="3960"/>
        </w:tabs>
        <w:ind w:left="3960" w:hanging="720"/>
      </w:pPr>
      <w:rPr>
        <w:rFonts w:hint="default"/>
      </w:rPr>
    </w:lvl>
    <w:lvl w:ilvl="5">
      <w:start w:val="1"/>
      <w:numFmt w:val="decimal"/>
      <w:lvlText w:val="%6."/>
      <w:lvlJc w:val="left"/>
      <w:pPr>
        <w:tabs>
          <w:tab w:val="num" w:pos="4680"/>
        </w:tabs>
        <w:ind w:left="4680" w:hanging="720"/>
      </w:pPr>
      <w:rPr>
        <w:rFonts w:hint="default"/>
      </w:rPr>
    </w:lvl>
    <w:lvl w:ilvl="6">
      <w:start w:val="1"/>
      <w:numFmt w:val="decimal"/>
      <w:lvlText w:val="%7."/>
      <w:lvlJc w:val="left"/>
      <w:pPr>
        <w:tabs>
          <w:tab w:val="num" w:pos="5400"/>
        </w:tabs>
        <w:ind w:left="5400" w:hanging="720"/>
      </w:pPr>
      <w:rPr>
        <w:rFonts w:hint="default"/>
      </w:rPr>
    </w:lvl>
    <w:lvl w:ilvl="7">
      <w:start w:val="1"/>
      <w:numFmt w:val="decimal"/>
      <w:lvlText w:val="%8."/>
      <w:lvlJc w:val="left"/>
      <w:pPr>
        <w:tabs>
          <w:tab w:val="num" w:pos="6120"/>
        </w:tabs>
        <w:ind w:left="6120" w:hanging="720"/>
      </w:pPr>
      <w:rPr>
        <w:rFonts w:hint="default"/>
      </w:rPr>
    </w:lvl>
    <w:lvl w:ilvl="8">
      <w:start w:val="1"/>
      <w:numFmt w:val="decimal"/>
      <w:lvlText w:val="%9."/>
      <w:lvlJc w:val="left"/>
      <w:pPr>
        <w:tabs>
          <w:tab w:val="num" w:pos="6840"/>
        </w:tabs>
        <w:ind w:left="6840" w:hanging="720"/>
      </w:pPr>
      <w:rPr>
        <w:rFonts w:hint="default"/>
      </w:rPr>
    </w:lvl>
  </w:abstractNum>
  <w:abstractNum w:abstractNumId="1" w15:restartNumberingAfterBreak="0">
    <w:nsid w:val="13ED2293"/>
    <w:multiLevelType w:val="hybridMultilevel"/>
    <w:tmpl w:val="4E8832F2"/>
    <w:lvl w:ilvl="0" w:tplc="9D8206BA">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E8D2270"/>
    <w:multiLevelType w:val="multilevel"/>
    <w:tmpl w:val="D8FCE3B8"/>
    <w:lvl w:ilvl="0">
      <w:start w:val="1"/>
      <w:numFmt w:val="bullet"/>
      <w:pStyle w:val="EnvPartie"/>
      <w:lvlText w:val="⮚"/>
      <w:lvlJc w:val="left"/>
      <w:pPr>
        <w:ind w:left="360" w:hanging="360"/>
      </w:pPr>
      <w:rPr>
        <w:rFonts w:ascii="Noto Sans Symbols" w:eastAsia="Noto Sans Symbols" w:hAnsi="Noto Sans Symbols" w:cs="Noto Sans Symbols"/>
      </w:rPr>
    </w:lvl>
    <w:lvl w:ilvl="1">
      <w:start w:val="1"/>
      <w:numFmt w:val="bullet"/>
      <w:lvlText w:val="o"/>
      <w:lvlJc w:val="left"/>
      <w:pPr>
        <w:ind w:left="360" w:hanging="360"/>
      </w:pPr>
      <w:rPr>
        <w:rFonts w:ascii="Courier New" w:eastAsia="Courier New" w:hAnsi="Courier New" w:cs="Courier New"/>
      </w:rPr>
    </w:lvl>
    <w:lvl w:ilvl="2">
      <w:start w:val="1"/>
      <w:numFmt w:val="bullet"/>
      <w:lvlText w:val="▪"/>
      <w:lvlJc w:val="left"/>
      <w:pPr>
        <w:ind w:left="785"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3" w15:restartNumberingAfterBreak="0">
    <w:nsid w:val="38956174"/>
    <w:multiLevelType w:val="hybridMultilevel"/>
    <w:tmpl w:val="B7DAACE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3A225E89"/>
    <w:multiLevelType w:val="multilevel"/>
    <w:tmpl w:val="DBA6105A"/>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5" w15:restartNumberingAfterBreak="0">
    <w:nsid w:val="40EA01A3"/>
    <w:multiLevelType w:val="hybridMultilevel"/>
    <w:tmpl w:val="10108AA4"/>
    <w:lvl w:ilvl="0" w:tplc="040C000B">
      <w:start w:val="1"/>
      <w:numFmt w:val="bullet"/>
      <w:lvlText w:val=""/>
      <w:lvlJc w:val="left"/>
      <w:pPr>
        <w:ind w:left="360" w:hanging="360"/>
      </w:pPr>
      <w:rPr>
        <w:rFonts w:ascii="Wingdings" w:hAnsi="Wingdings"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6" w15:restartNumberingAfterBreak="0">
    <w:nsid w:val="44D30BCF"/>
    <w:multiLevelType w:val="hybridMultilevel"/>
    <w:tmpl w:val="C8480932"/>
    <w:lvl w:ilvl="0" w:tplc="0BEA6636">
      <w:start w:val="1"/>
      <w:numFmt w:val="bullet"/>
      <w:lvlText w:val=""/>
      <w:lvlJc w:val="left"/>
      <w:pPr>
        <w:ind w:left="360" w:hanging="360"/>
      </w:pPr>
      <w:rPr>
        <w:rFonts w:ascii="Webdings" w:hAnsi="Webdings" w:hint="default"/>
        <w:color w:val="B2A1C7"/>
        <w:sz w:val="24"/>
      </w:rPr>
    </w:lvl>
    <w:lvl w:ilvl="1" w:tplc="040C0003" w:tentative="1">
      <w:start w:val="1"/>
      <w:numFmt w:val="bullet"/>
      <w:lvlText w:val="o"/>
      <w:lvlJc w:val="left"/>
      <w:pPr>
        <w:ind w:left="1080" w:hanging="360"/>
      </w:pPr>
      <w:rPr>
        <w:rFonts w:ascii="Courier New" w:hAnsi="Courier New" w:cs="Arial"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Arial"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Arial" w:hint="default"/>
      </w:rPr>
    </w:lvl>
    <w:lvl w:ilvl="8" w:tplc="040C0005" w:tentative="1">
      <w:start w:val="1"/>
      <w:numFmt w:val="bullet"/>
      <w:lvlText w:val=""/>
      <w:lvlJc w:val="left"/>
      <w:pPr>
        <w:ind w:left="6120" w:hanging="360"/>
      </w:pPr>
      <w:rPr>
        <w:rFonts w:ascii="Wingdings" w:hAnsi="Wingdings" w:hint="default"/>
      </w:rPr>
    </w:lvl>
  </w:abstractNum>
  <w:abstractNum w:abstractNumId="7" w15:restartNumberingAfterBreak="0">
    <w:nsid w:val="4AD33F78"/>
    <w:multiLevelType w:val="hybridMultilevel"/>
    <w:tmpl w:val="566260BC"/>
    <w:lvl w:ilvl="0" w:tplc="040C000B">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8" w15:restartNumberingAfterBreak="0">
    <w:nsid w:val="4F496B1A"/>
    <w:multiLevelType w:val="hybridMultilevel"/>
    <w:tmpl w:val="432A2372"/>
    <w:lvl w:ilvl="0" w:tplc="AE9060F0">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0686ACC"/>
    <w:multiLevelType w:val="hybridMultilevel"/>
    <w:tmpl w:val="A07ACEE4"/>
    <w:lvl w:ilvl="0" w:tplc="C8200E44">
      <w:start w:val="1"/>
      <w:numFmt w:val="bullet"/>
      <w:lvlText w:val=""/>
      <w:lvlJc w:val="left"/>
      <w:pPr>
        <w:ind w:left="6315" w:hanging="360"/>
      </w:pPr>
      <w:rPr>
        <w:rFonts w:ascii="Webdings" w:hAnsi="Webdings" w:hint="default"/>
        <w:color w:val="B2A1C7"/>
        <w:sz w:val="96"/>
      </w:rPr>
    </w:lvl>
    <w:lvl w:ilvl="1" w:tplc="040C0003" w:tentative="1">
      <w:start w:val="1"/>
      <w:numFmt w:val="bullet"/>
      <w:lvlText w:val="o"/>
      <w:lvlJc w:val="left"/>
      <w:pPr>
        <w:ind w:left="1440" w:hanging="360"/>
      </w:pPr>
      <w:rPr>
        <w:rFonts w:ascii="Courier New" w:hAnsi="Courier New"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Arial"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Arial"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54E33DB2"/>
    <w:multiLevelType w:val="hybridMultilevel"/>
    <w:tmpl w:val="D4A6767E"/>
    <w:lvl w:ilvl="0" w:tplc="040C0015">
      <w:start w:val="1"/>
      <w:numFmt w:val="upperLetter"/>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627914E7"/>
    <w:multiLevelType w:val="multilevel"/>
    <w:tmpl w:val="0BE8FE32"/>
    <w:lvl w:ilvl="0">
      <w:start w:val="1"/>
      <w:numFmt w:val="bullet"/>
      <w:pStyle w:val="EnvTitreparagraphe"/>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2" w15:restartNumberingAfterBreak="0">
    <w:nsid w:val="66ED5475"/>
    <w:multiLevelType w:val="multilevel"/>
    <w:tmpl w:val="988C9A70"/>
    <w:lvl w:ilvl="0">
      <w:start w:val="1"/>
      <w:numFmt w:val="bullet"/>
      <w:lvlText w:val=""/>
      <w:lvlJc w:val="left"/>
      <w:pPr>
        <w:ind w:left="360" w:hanging="360"/>
      </w:pPr>
      <w:rPr>
        <w:rFonts w:ascii="Arimo" w:eastAsia="Arimo" w:hAnsi="Arimo" w:cs="Arimo"/>
        <w:color w:val="B2A1C7"/>
        <w:sz w:val="24"/>
        <w:szCs w:val="24"/>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3" w15:restartNumberingAfterBreak="0">
    <w:nsid w:val="7BCB7CD8"/>
    <w:multiLevelType w:val="hybridMultilevel"/>
    <w:tmpl w:val="A7760B0A"/>
    <w:lvl w:ilvl="0" w:tplc="25547AFC">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
  </w:num>
  <w:num w:numId="2">
    <w:abstractNumId w:val="11"/>
  </w:num>
  <w:num w:numId="3">
    <w:abstractNumId w:val="4"/>
  </w:num>
  <w:num w:numId="4">
    <w:abstractNumId w:val="12"/>
  </w:num>
  <w:num w:numId="5">
    <w:abstractNumId w:val="0"/>
  </w:num>
  <w:num w:numId="6">
    <w:abstractNumId w:val="5"/>
  </w:num>
  <w:num w:numId="7">
    <w:abstractNumId w:val="9"/>
  </w:num>
  <w:num w:numId="8">
    <w:abstractNumId w:val="6"/>
  </w:num>
  <w:num w:numId="9">
    <w:abstractNumId w:val="1"/>
  </w:num>
  <w:num w:numId="10">
    <w:abstractNumId w:val="13"/>
  </w:num>
  <w:num w:numId="11">
    <w:abstractNumId w:val="8"/>
  </w:num>
  <w:num w:numId="12">
    <w:abstractNumId w:val="7"/>
  </w:num>
  <w:num w:numId="13">
    <w:abstractNumId w:val="3"/>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781C"/>
    <w:rsid w:val="000550DA"/>
    <w:rsid w:val="00071F7F"/>
    <w:rsid w:val="00085DFA"/>
    <w:rsid w:val="000A39EE"/>
    <w:rsid w:val="000F49AD"/>
    <w:rsid w:val="00122981"/>
    <w:rsid w:val="001A0714"/>
    <w:rsid w:val="001B7492"/>
    <w:rsid w:val="001D7FC2"/>
    <w:rsid w:val="002277DA"/>
    <w:rsid w:val="00252C72"/>
    <w:rsid w:val="00266DB5"/>
    <w:rsid w:val="00274032"/>
    <w:rsid w:val="002B3C56"/>
    <w:rsid w:val="002D09AA"/>
    <w:rsid w:val="002D2E01"/>
    <w:rsid w:val="002F1E2B"/>
    <w:rsid w:val="002F3160"/>
    <w:rsid w:val="003079CD"/>
    <w:rsid w:val="003112CA"/>
    <w:rsid w:val="00317C85"/>
    <w:rsid w:val="00324F8C"/>
    <w:rsid w:val="003C3B40"/>
    <w:rsid w:val="003D5CA5"/>
    <w:rsid w:val="004243CA"/>
    <w:rsid w:val="00442E4B"/>
    <w:rsid w:val="00450D47"/>
    <w:rsid w:val="004651E6"/>
    <w:rsid w:val="004C21F8"/>
    <w:rsid w:val="004E2FEF"/>
    <w:rsid w:val="004F20C6"/>
    <w:rsid w:val="00526DD4"/>
    <w:rsid w:val="005A76F4"/>
    <w:rsid w:val="005D2281"/>
    <w:rsid w:val="00654379"/>
    <w:rsid w:val="006A5A60"/>
    <w:rsid w:val="006B7247"/>
    <w:rsid w:val="00720AD8"/>
    <w:rsid w:val="00734C73"/>
    <w:rsid w:val="007A4D77"/>
    <w:rsid w:val="007A5979"/>
    <w:rsid w:val="007A5BFC"/>
    <w:rsid w:val="007E7975"/>
    <w:rsid w:val="00803455"/>
    <w:rsid w:val="00863CB4"/>
    <w:rsid w:val="00881C0D"/>
    <w:rsid w:val="00882EA5"/>
    <w:rsid w:val="008A2D1C"/>
    <w:rsid w:val="008F7158"/>
    <w:rsid w:val="00932D39"/>
    <w:rsid w:val="00945078"/>
    <w:rsid w:val="00951471"/>
    <w:rsid w:val="00951B6C"/>
    <w:rsid w:val="0099114B"/>
    <w:rsid w:val="0099682C"/>
    <w:rsid w:val="009E63C4"/>
    <w:rsid w:val="009F1C7A"/>
    <w:rsid w:val="009F646F"/>
    <w:rsid w:val="00A04130"/>
    <w:rsid w:val="00A329A7"/>
    <w:rsid w:val="00A70BDE"/>
    <w:rsid w:val="00AB0DEF"/>
    <w:rsid w:val="00AE5139"/>
    <w:rsid w:val="00B34036"/>
    <w:rsid w:val="00B72C9E"/>
    <w:rsid w:val="00B7761F"/>
    <w:rsid w:val="00B851A2"/>
    <w:rsid w:val="00BC7397"/>
    <w:rsid w:val="00BD4AF2"/>
    <w:rsid w:val="00BE0771"/>
    <w:rsid w:val="00C1573D"/>
    <w:rsid w:val="00C26979"/>
    <w:rsid w:val="00C55FEA"/>
    <w:rsid w:val="00C57C5D"/>
    <w:rsid w:val="00C604AA"/>
    <w:rsid w:val="00C82796"/>
    <w:rsid w:val="00C84FE0"/>
    <w:rsid w:val="00CC781C"/>
    <w:rsid w:val="00CE2E5D"/>
    <w:rsid w:val="00CE695D"/>
    <w:rsid w:val="00D22C16"/>
    <w:rsid w:val="00D56660"/>
    <w:rsid w:val="00D86426"/>
    <w:rsid w:val="00D92D60"/>
    <w:rsid w:val="00DB60C1"/>
    <w:rsid w:val="00E47359"/>
    <w:rsid w:val="00E63537"/>
    <w:rsid w:val="00EA37E7"/>
    <w:rsid w:val="00EF0E12"/>
    <w:rsid w:val="00F17B8E"/>
    <w:rsid w:val="00F272B5"/>
    <w:rsid w:val="00F41C0F"/>
    <w:rsid w:val="00FA5472"/>
    <w:rsid w:val="00FA6B4F"/>
    <w:rsid w:val="00FB6063"/>
    <w:rsid w:val="00FE4BC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20B120"/>
  <w15:docId w15:val="{70E9B8AF-3AE0-4B14-8B6F-8927229347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F117B"/>
  </w:style>
  <w:style w:type="paragraph" w:styleId="Titre1">
    <w:name w:val="heading 1"/>
    <w:basedOn w:val="Normal"/>
    <w:next w:val="Normal"/>
    <w:link w:val="Titre1Car"/>
    <w:uiPriority w:val="9"/>
    <w:qFormat/>
    <w:rsid w:val="005A75C2"/>
    <w:pPr>
      <w:shd w:val="clear" w:color="auto" w:fill="E5DFEC" w:themeFill="accent4" w:themeFillTint="33"/>
      <w:spacing w:before="360"/>
      <w:ind w:left="360"/>
      <w:jc w:val="both"/>
      <w:outlineLvl w:val="0"/>
    </w:pPr>
    <w:rPr>
      <w:rFonts w:asciiTheme="minorHAnsi" w:hAnsiTheme="minorHAnsi" w:cs="Times New Roman (Corps CS)"/>
      <w:b/>
      <w:color w:val="5F497A" w:themeColor="accent4" w:themeShade="BF"/>
    </w:rPr>
  </w:style>
  <w:style w:type="paragraph" w:styleId="Titre2">
    <w:name w:val="heading 2"/>
    <w:basedOn w:val="Normal"/>
    <w:next w:val="Normal"/>
    <w:link w:val="Titre2Car"/>
    <w:uiPriority w:val="9"/>
    <w:unhideWhenUsed/>
    <w:qFormat/>
    <w:rsid w:val="00863CB4"/>
    <w:pPr>
      <w:keepNext/>
      <w:keepLines/>
      <w:numPr>
        <w:numId w:val="5"/>
      </w:numPr>
      <w:spacing w:before="40" w:after="120"/>
      <w:ind w:left="737" w:firstLine="0"/>
      <w:outlineLvl w:val="1"/>
    </w:pPr>
    <w:rPr>
      <w:rFonts w:eastAsiaTheme="majorEastAsia" w:cstheme="majorBidi"/>
      <w:b/>
      <w:i/>
      <w:color w:val="5F497A" w:themeColor="accent4" w:themeShade="BF"/>
      <w:sz w:val="24"/>
      <w:szCs w:val="26"/>
    </w:rPr>
  </w:style>
  <w:style w:type="paragraph" w:styleId="Titre3">
    <w:name w:val="heading 3"/>
    <w:basedOn w:val="Normal"/>
    <w:next w:val="Normal"/>
    <w:uiPriority w:val="9"/>
    <w:semiHidden/>
    <w:unhideWhenUsed/>
    <w:qFormat/>
    <w:pPr>
      <w:keepNext/>
      <w:keepLines/>
      <w:spacing w:before="280" w:after="80"/>
      <w:outlineLvl w:val="2"/>
    </w:pPr>
    <w:rPr>
      <w:b/>
      <w:sz w:val="28"/>
      <w:szCs w:val="28"/>
    </w:rPr>
  </w:style>
  <w:style w:type="paragraph" w:styleId="Titre4">
    <w:name w:val="heading 4"/>
    <w:basedOn w:val="Normal"/>
    <w:next w:val="Normal"/>
    <w:uiPriority w:val="9"/>
    <w:semiHidden/>
    <w:unhideWhenUsed/>
    <w:qFormat/>
    <w:pPr>
      <w:keepNext/>
      <w:keepLines/>
      <w:spacing w:before="240" w:after="40"/>
      <w:outlineLvl w:val="3"/>
    </w:pPr>
    <w:rPr>
      <w:b/>
      <w:sz w:val="24"/>
      <w:szCs w:val="24"/>
    </w:rPr>
  </w:style>
  <w:style w:type="paragraph" w:styleId="Titre5">
    <w:name w:val="heading 5"/>
    <w:basedOn w:val="Normal"/>
    <w:next w:val="Normal"/>
    <w:uiPriority w:val="9"/>
    <w:semiHidden/>
    <w:unhideWhenUsed/>
    <w:qFormat/>
    <w:pPr>
      <w:keepNext/>
      <w:keepLines/>
      <w:spacing w:before="220" w:after="40"/>
      <w:outlineLvl w:val="4"/>
    </w:pPr>
    <w:rPr>
      <w:b/>
    </w:rPr>
  </w:style>
  <w:style w:type="paragraph" w:styleId="Titre6">
    <w:name w:val="heading 6"/>
    <w:basedOn w:val="Normal"/>
    <w:next w:val="Normal"/>
    <w:uiPriority w:val="9"/>
    <w:semiHidden/>
    <w:unhideWhenUsed/>
    <w:qFormat/>
    <w:pPr>
      <w:keepNext/>
      <w:keepLines/>
      <w:spacing w:before="200" w:after="40"/>
      <w:outlineLvl w:val="5"/>
    </w:pPr>
    <w:rPr>
      <w:b/>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EnvPartie"/>
    <w:next w:val="Normal"/>
    <w:link w:val="TitreCar"/>
    <w:uiPriority w:val="10"/>
    <w:qFormat/>
    <w:rsid w:val="00BA1A91"/>
    <w:pPr>
      <w:numPr>
        <w:numId w:val="0"/>
      </w:numPr>
      <w:pBdr>
        <w:bottom w:val="single" w:sz="12" w:space="1" w:color="B2A1C7"/>
      </w:pBdr>
      <w:spacing w:before="120" w:after="120"/>
      <w:ind w:left="425"/>
      <w:jc w:val="center"/>
    </w:pPr>
    <w:rPr>
      <w:rFonts w:ascii="Trajan Pro" w:hAnsi="Trajan Pro"/>
      <w:smallCaps/>
      <w:sz w:val="32"/>
      <w:szCs w:val="32"/>
      <w:shd w:val="clear" w:color="auto" w:fill="auto"/>
    </w:rPr>
  </w:style>
  <w:style w:type="paragraph" w:styleId="Paragraphedeliste">
    <w:name w:val="List Paragraph"/>
    <w:basedOn w:val="Normal"/>
    <w:uiPriority w:val="34"/>
    <w:qFormat/>
    <w:rsid w:val="001D764C"/>
    <w:pPr>
      <w:ind w:left="720"/>
      <w:contextualSpacing/>
    </w:pPr>
  </w:style>
  <w:style w:type="paragraph" w:styleId="En-tte">
    <w:name w:val="header"/>
    <w:basedOn w:val="Normal"/>
    <w:link w:val="En-tteCar"/>
    <w:uiPriority w:val="99"/>
    <w:unhideWhenUsed/>
    <w:rsid w:val="009E185E"/>
    <w:pPr>
      <w:tabs>
        <w:tab w:val="center" w:pos="4536"/>
        <w:tab w:val="right" w:pos="9072"/>
      </w:tabs>
    </w:pPr>
  </w:style>
  <w:style w:type="character" w:customStyle="1" w:styleId="En-tteCar">
    <w:name w:val="En-tête Car"/>
    <w:basedOn w:val="Policepardfaut"/>
    <w:link w:val="En-tte"/>
    <w:uiPriority w:val="99"/>
    <w:rsid w:val="009E185E"/>
  </w:style>
  <w:style w:type="paragraph" w:styleId="Pieddepage">
    <w:name w:val="footer"/>
    <w:basedOn w:val="Normal"/>
    <w:link w:val="PieddepageCar"/>
    <w:uiPriority w:val="99"/>
    <w:unhideWhenUsed/>
    <w:rsid w:val="009E185E"/>
    <w:pPr>
      <w:tabs>
        <w:tab w:val="center" w:pos="4536"/>
        <w:tab w:val="right" w:pos="9072"/>
      </w:tabs>
    </w:pPr>
  </w:style>
  <w:style w:type="character" w:customStyle="1" w:styleId="PieddepageCar">
    <w:name w:val="Pied de page Car"/>
    <w:basedOn w:val="Policepardfaut"/>
    <w:link w:val="Pieddepage"/>
    <w:uiPriority w:val="99"/>
    <w:rsid w:val="009E185E"/>
  </w:style>
  <w:style w:type="paragraph" w:styleId="Textedebulles">
    <w:name w:val="Balloon Text"/>
    <w:basedOn w:val="Normal"/>
    <w:link w:val="TextedebullesCar"/>
    <w:uiPriority w:val="99"/>
    <w:semiHidden/>
    <w:unhideWhenUsed/>
    <w:rsid w:val="009E185E"/>
    <w:rPr>
      <w:rFonts w:ascii="Lucida Grande" w:hAnsi="Lucida Grande" w:cs="Lucida Grande"/>
      <w:sz w:val="18"/>
      <w:szCs w:val="18"/>
    </w:rPr>
  </w:style>
  <w:style w:type="character" w:customStyle="1" w:styleId="TextedebullesCar">
    <w:name w:val="Texte de bulles Car"/>
    <w:basedOn w:val="Policepardfaut"/>
    <w:link w:val="Textedebulles"/>
    <w:uiPriority w:val="99"/>
    <w:semiHidden/>
    <w:rsid w:val="009E185E"/>
    <w:rPr>
      <w:rFonts w:ascii="Lucida Grande" w:hAnsi="Lucida Grande" w:cs="Lucida Grande"/>
      <w:sz w:val="18"/>
      <w:szCs w:val="18"/>
    </w:rPr>
  </w:style>
  <w:style w:type="paragraph" w:customStyle="1" w:styleId="EnvPartie">
    <w:name w:val="Env_Partie"/>
    <w:basedOn w:val="Normal"/>
    <w:link w:val="EnvPartieCar"/>
    <w:qFormat/>
    <w:rsid w:val="0046533A"/>
    <w:pPr>
      <w:numPr>
        <w:numId w:val="1"/>
      </w:numPr>
      <w:pBdr>
        <w:bottom w:val="single" w:sz="24" w:space="1" w:color="B2A1C7"/>
      </w:pBdr>
      <w:autoSpaceDE w:val="0"/>
      <w:autoSpaceDN w:val="0"/>
      <w:adjustRightInd w:val="0"/>
      <w:spacing w:before="1320"/>
      <w:jc w:val="right"/>
      <w:outlineLvl w:val="0"/>
    </w:pPr>
    <w:rPr>
      <w:rFonts w:eastAsia="Times New Roman" w:cs="Arial"/>
      <w:color w:val="403152"/>
      <w:sz w:val="96"/>
      <w:szCs w:val="96"/>
      <w:shd w:val="clear" w:color="auto" w:fill="E5DFEC"/>
    </w:rPr>
  </w:style>
  <w:style w:type="character" w:customStyle="1" w:styleId="EnvPartieCar">
    <w:name w:val="Env_Partie Car"/>
    <w:basedOn w:val="Policepardfaut"/>
    <w:link w:val="EnvPartie"/>
    <w:rsid w:val="0046533A"/>
    <w:rPr>
      <w:rFonts w:ascii="Calibri" w:eastAsia="Times New Roman" w:hAnsi="Calibri" w:cs="Arial"/>
      <w:color w:val="403152"/>
      <w:sz w:val="96"/>
      <w:szCs w:val="96"/>
    </w:rPr>
  </w:style>
  <w:style w:type="paragraph" w:customStyle="1" w:styleId="EnvTitreparagraphe">
    <w:name w:val="Env_Titre paragraphe"/>
    <w:basedOn w:val="Normal"/>
    <w:link w:val="EnvTitreparagrapheCar"/>
    <w:qFormat/>
    <w:rsid w:val="0046533A"/>
    <w:pPr>
      <w:numPr>
        <w:numId w:val="2"/>
      </w:numPr>
      <w:spacing w:before="360" w:after="240"/>
      <w:jc w:val="both"/>
    </w:pPr>
    <w:rPr>
      <w:rFonts w:eastAsia="Times New Roman" w:cs="Times New Roman"/>
      <w:b/>
      <w:color w:val="403152"/>
    </w:rPr>
  </w:style>
  <w:style w:type="character" w:customStyle="1" w:styleId="EnvTitreparagrapheCar">
    <w:name w:val="Env_Titre paragraphe Car"/>
    <w:basedOn w:val="Policepardfaut"/>
    <w:link w:val="EnvTitreparagraphe"/>
    <w:rsid w:val="0046533A"/>
    <w:rPr>
      <w:rFonts w:ascii="Calibri" w:eastAsia="Times New Roman" w:hAnsi="Calibri" w:cs="Times New Roman"/>
      <w:b/>
      <w:color w:val="403152"/>
    </w:rPr>
  </w:style>
  <w:style w:type="table" w:styleId="Grilledutableau">
    <w:name w:val="Table Grid"/>
    <w:basedOn w:val="TableauNormal"/>
    <w:uiPriority w:val="59"/>
    <w:rsid w:val="00080B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umrodepage">
    <w:name w:val="page number"/>
    <w:basedOn w:val="Policepardfaut"/>
    <w:uiPriority w:val="99"/>
    <w:semiHidden/>
    <w:unhideWhenUsed/>
    <w:rsid w:val="00E06D6D"/>
  </w:style>
  <w:style w:type="character" w:styleId="Lienhypertexte">
    <w:name w:val="Hyperlink"/>
    <w:basedOn w:val="Policepardfaut"/>
    <w:uiPriority w:val="99"/>
    <w:unhideWhenUsed/>
    <w:rsid w:val="008A620E"/>
    <w:rPr>
      <w:color w:val="0000FF" w:themeColor="hyperlink"/>
      <w:u w:val="single"/>
    </w:rPr>
  </w:style>
  <w:style w:type="character" w:customStyle="1" w:styleId="TitreCar">
    <w:name w:val="Titre Car"/>
    <w:basedOn w:val="Policepardfaut"/>
    <w:link w:val="Titre"/>
    <w:uiPriority w:val="10"/>
    <w:rsid w:val="00BA1A91"/>
    <w:rPr>
      <w:rFonts w:ascii="Trajan Pro" w:eastAsia="Times New Roman" w:hAnsi="Trajan Pro" w:cs="Arial"/>
      <w:smallCaps/>
      <w:color w:val="403152"/>
      <w:sz w:val="32"/>
      <w:szCs w:val="32"/>
    </w:rPr>
  </w:style>
  <w:style w:type="character" w:customStyle="1" w:styleId="Titre1Car">
    <w:name w:val="Titre 1 Car"/>
    <w:basedOn w:val="Policepardfaut"/>
    <w:link w:val="Titre1"/>
    <w:uiPriority w:val="9"/>
    <w:rsid w:val="005A75C2"/>
    <w:rPr>
      <w:rFonts w:asciiTheme="minorHAnsi" w:hAnsiTheme="minorHAnsi" w:cs="Times New Roman (Corps CS)"/>
      <w:b/>
      <w:color w:val="5F497A" w:themeColor="accent4" w:themeShade="BF"/>
      <w:shd w:val="clear" w:color="auto" w:fill="E5DFEC" w:themeFill="accent4" w:themeFillTint="33"/>
    </w:rPr>
  </w:style>
  <w:style w:type="paragraph" w:styleId="Sansinterligne">
    <w:name w:val="No Spacing"/>
    <w:uiPriority w:val="1"/>
    <w:qFormat/>
    <w:rsid w:val="007B07CE"/>
  </w:style>
  <w:style w:type="character" w:customStyle="1" w:styleId="Mentionnonrsolue1">
    <w:name w:val="Mention non résolue1"/>
    <w:basedOn w:val="Policepardfaut"/>
    <w:uiPriority w:val="99"/>
    <w:semiHidden/>
    <w:unhideWhenUsed/>
    <w:rsid w:val="00ED422C"/>
    <w:rPr>
      <w:color w:val="605E5C"/>
      <w:shd w:val="clear" w:color="auto" w:fill="E1DFDD"/>
    </w:rPr>
  </w:style>
  <w:style w:type="character" w:styleId="Marquedecommentaire">
    <w:name w:val="annotation reference"/>
    <w:basedOn w:val="Policepardfaut"/>
    <w:uiPriority w:val="99"/>
    <w:semiHidden/>
    <w:unhideWhenUsed/>
    <w:rsid w:val="005E31E0"/>
    <w:rPr>
      <w:sz w:val="16"/>
      <w:szCs w:val="16"/>
    </w:rPr>
  </w:style>
  <w:style w:type="paragraph" w:styleId="Commentaire">
    <w:name w:val="annotation text"/>
    <w:basedOn w:val="Normal"/>
    <w:link w:val="CommentaireCar"/>
    <w:uiPriority w:val="99"/>
    <w:semiHidden/>
    <w:unhideWhenUsed/>
    <w:rsid w:val="005E31E0"/>
    <w:rPr>
      <w:sz w:val="20"/>
      <w:szCs w:val="20"/>
    </w:rPr>
  </w:style>
  <w:style w:type="character" w:customStyle="1" w:styleId="CommentaireCar">
    <w:name w:val="Commentaire Car"/>
    <w:basedOn w:val="Policepardfaut"/>
    <w:link w:val="Commentaire"/>
    <w:uiPriority w:val="99"/>
    <w:semiHidden/>
    <w:rsid w:val="005E31E0"/>
    <w:rPr>
      <w:sz w:val="20"/>
      <w:szCs w:val="20"/>
    </w:rPr>
  </w:style>
  <w:style w:type="paragraph" w:styleId="Objetducommentaire">
    <w:name w:val="annotation subject"/>
    <w:basedOn w:val="Commentaire"/>
    <w:next w:val="Commentaire"/>
    <w:link w:val="ObjetducommentaireCar"/>
    <w:uiPriority w:val="99"/>
    <w:semiHidden/>
    <w:unhideWhenUsed/>
    <w:rsid w:val="005E31E0"/>
    <w:rPr>
      <w:b/>
      <w:bCs/>
    </w:rPr>
  </w:style>
  <w:style w:type="character" w:customStyle="1" w:styleId="ObjetducommentaireCar">
    <w:name w:val="Objet du commentaire Car"/>
    <w:basedOn w:val="CommentaireCar"/>
    <w:link w:val="Objetducommentaire"/>
    <w:uiPriority w:val="99"/>
    <w:semiHidden/>
    <w:rsid w:val="005E31E0"/>
    <w:rPr>
      <w:b/>
      <w:bCs/>
      <w:sz w:val="20"/>
      <w:szCs w:val="20"/>
    </w:rPr>
  </w:style>
  <w:style w:type="character" w:customStyle="1" w:styleId="Mentionnonrsolue2">
    <w:name w:val="Mention non résolue2"/>
    <w:basedOn w:val="Policepardfaut"/>
    <w:uiPriority w:val="99"/>
    <w:semiHidden/>
    <w:unhideWhenUsed/>
    <w:rsid w:val="00DA78C6"/>
    <w:rPr>
      <w:color w:val="605E5C"/>
      <w:shd w:val="clear" w:color="auto" w:fill="E1DFDD"/>
    </w:rPr>
  </w:style>
  <w:style w:type="paragraph" w:styleId="Notedebasdepage">
    <w:name w:val="footnote text"/>
    <w:basedOn w:val="Normal"/>
    <w:link w:val="NotedebasdepageCar"/>
    <w:uiPriority w:val="99"/>
    <w:semiHidden/>
    <w:unhideWhenUsed/>
    <w:rsid w:val="008D383B"/>
    <w:rPr>
      <w:sz w:val="20"/>
      <w:szCs w:val="20"/>
    </w:rPr>
  </w:style>
  <w:style w:type="character" w:customStyle="1" w:styleId="NotedebasdepageCar">
    <w:name w:val="Note de bas de page Car"/>
    <w:basedOn w:val="Policepardfaut"/>
    <w:link w:val="Notedebasdepage"/>
    <w:uiPriority w:val="99"/>
    <w:semiHidden/>
    <w:rsid w:val="008D383B"/>
    <w:rPr>
      <w:sz w:val="20"/>
      <w:szCs w:val="20"/>
    </w:rPr>
  </w:style>
  <w:style w:type="character" w:styleId="Appelnotedebasdep">
    <w:name w:val="footnote reference"/>
    <w:basedOn w:val="Policepardfaut"/>
    <w:uiPriority w:val="99"/>
    <w:semiHidden/>
    <w:unhideWhenUsed/>
    <w:rsid w:val="008D383B"/>
    <w:rPr>
      <w:vertAlign w:val="superscript"/>
    </w:rPr>
  </w:style>
  <w:style w:type="character" w:styleId="Lienhypertextesuivivisit">
    <w:name w:val="FollowedHyperlink"/>
    <w:basedOn w:val="Policepardfaut"/>
    <w:uiPriority w:val="99"/>
    <w:semiHidden/>
    <w:unhideWhenUsed/>
    <w:rsid w:val="00A6610E"/>
    <w:rPr>
      <w:color w:val="800080" w:themeColor="followedHyperlink"/>
      <w:u w:val="single"/>
    </w:rPr>
  </w:style>
  <w:style w:type="table" w:styleId="TableauGrille4-Accentuation4">
    <w:name w:val="Grid Table 4 Accent 4"/>
    <w:basedOn w:val="TableauNormal"/>
    <w:uiPriority w:val="49"/>
    <w:rsid w:val="00211346"/>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insideV w:val="nil"/>
        </w:tcBorders>
        <w:shd w:val="clear" w:color="auto" w:fill="8064A2" w:themeFill="accent4"/>
      </w:tcPr>
    </w:tblStylePr>
    <w:tblStylePr w:type="lastRow">
      <w:rPr>
        <w:b/>
        <w:bCs/>
      </w:rPr>
      <w:tblPr/>
      <w:tcPr>
        <w:tcBorders>
          <w:top w:val="double" w:sz="4" w:space="0" w:color="8064A2" w:themeColor="accent4"/>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character" w:customStyle="1" w:styleId="Titre2Car">
    <w:name w:val="Titre 2 Car"/>
    <w:basedOn w:val="Policepardfaut"/>
    <w:link w:val="Titre2"/>
    <w:uiPriority w:val="9"/>
    <w:rsid w:val="00863CB4"/>
    <w:rPr>
      <w:rFonts w:eastAsiaTheme="majorEastAsia" w:cstheme="majorBidi"/>
      <w:b/>
      <w:i/>
      <w:color w:val="5F497A" w:themeColor="accent4" w:themeShade="BF"/>
      <w:sz w:val="24"/>
      <w:szCs w:val="26"/>
    </w:rPr>
  </w:style>
  <w:style w:type="paragraph" w:styleId="Rvision">
    <w:name w:val="Revision"/>
    <w:hidden/>
    <w:uiPriority w:val="99"/>
    <w:semiHidden/>
    <w:rsid w:val="00C95D4F"/>
  </w:style>
  <w:style w:type="paragraph" w:styleId="Sous-titr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08" w:type="dxa"/>
        <w:right w:w="108" w:type="dxa"/>
      </w:tblCellMar>
    </w:tblPr>
  </w:style>
  <w:style w:type="table" w:customStyle="1" w:styleId="a0">
    <w:basedOn w:val="TableNormal"/>
    <w:tblPr>
      <w:tblStyleRowBandSize w:val="1"/>
      <w:tblStyleColBandSize w:val="1"/>
      <w:tblCellMar>
        <w:left w:w="108" w:type="dxa"/>
        <w:right w:w="108" w:type="dxa"/>
      </w:tblCellMar>
    </w:tblPr>
  </w:style>
  <w:style w:type="character" w:styleId="Mentionnonrsolue">
    <w:name w:val="Unresolved Mention"/>
    <w:basedOn w:val="Policepardfaut"/>
    <w:uiPriority w:val="99"/>
    <w:semiHidden/>
    <w:unhideWhenUsed/>
    <w:rsid w:val="009F646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eucityfacility.eu/support-at-national-level.html"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ce.france@eucityfacility.eu"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ucityfacility.eu/fileadmin/inhalte/dokumente/SUCCESS_STORIES_1st_Call/EUCF_Beneificaries_story_Girona_Province.pdf" TargetMode="External"/><Relationship Id="rId5" Type="http://schemas.openxmlformats.org/officeDocument/2006/relationships/webSettings" Target="webSettings.xml"/><Relationship Id="rId15" Type="http://schemas.openxmlformats.org/officeDocument/2006/relationships/hyperlink" Target="https://www.eucityfacility.eu/fileadmin/inhalte/dokumente/DELIVERABLES/D2.8_Online_application_form.pdf" TargetMode="External"/><Relationship Id="rId10" Type="http://schemas.openxmlformats.org/officeDocument/2006/relationships/hyperlink" Target="https://www.eucityfacility.eu/fileadmin/inhalte/dokumente/SUCCESS_STORIES_1st_Call/EUCF_Beneficiary_Story_Cascais-.pdf"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energy-cities.eu/" TargetMode="External"/><Relationship Id="rId14" Type="http://schemas.openxmlformats.org/officeDocument/2006/relationships/hyperlink" Target="https://www.eucityfacility.eu/support/helpdesk.html"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4.jpg"/><Relationship Id="rId2" Type="http://schemas.openxmlformats.org/officeDocument/2006/relationships/image" Target="media/image3.jpg"/><Relationship Id="rId1" Type="http://schemas.openxmlformats.org/officeDocument/2006/relationships/image" Target="media/image2.jpg"/></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elgWrmT2WvSzx4OA7tCY49Iho4w==">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</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1538</TotalTime>
  <Pages>5</Pages>
  <Words>2285</Words>
  <Characters>12572</Characters>
  <Application>Microsoft Office Word</Application>
  <DocSecurity>0</DocSecurity>
  <Lines>104</Lines>
  <Paragraphs>29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14828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Julien Baudry</cp:lastModifiedBy>
  <cp:revision>56</cp:revision>
  <dcterms:created xsi:type="dcterms:W3CDTF">2021-05-12T08:18:00Z</dcterms:created>
  <dcterms:modified xsi:type="dcterms:W3CDTF">2021-06-18T16:52:00Z</dcterms:modified>
</cp:coreProperties>
</file>