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254A0" w14:textId="77777777" w:rsidR="00137E4E" w:rsidRPr="00E154EC" w:rsidRDefault="00E154EC" w:rsidP="009E31B7">
      <w:pPr>
        <w:pStyle w:val="Titre"/>
        <w:pBdr>
          <w:bottom w:val="single" w:sz="12" w:space="9" w:color="B2A1C7"/>
        </w:pBdr>
        <w:spacing w:before="0" w:after="0"/>
        <w:rPr>
          <w:rFonts w:asciiTheme="minorHAnsi" w:hAnsiTheme="minorHAnsi"/>
          <w:b/>
          <w:bCs/>
        </w:rPr>
      </w:pPr>
      <w:r w:rsidRPr="00E154EC">
        <w:rPr>
          <w:rFonts w:asciiTheme="minorHAnsi" w:hAnsiTheme="minorHAnsi"/>
          <w:b/>
          <w:bCs/>
        </w:rPr>
        <w:t>Financements européens pertinents pour la transition écologique</w:t>
      </w:r>
      <w:r w:rsidR="00821E53">
        <w:rPr>
          <w:rFonts w:asciiTheme="minorHAnsi" w:hAnsiTheme="minorHAnsi"/>
          <w:b/>
          <w:bCs/>
        </w:rPr>
        <w:t xml:space="preserve"> et énergétique</w:t>
      </w:r>
      <w:r w:rsidRPr="00E154EC">
        <w:rPr>
          <w:rFonts w:asciiTheme="minorHAnsi" w:hAnsiTheme="minorHAnsi"/>
          <w:b/>
          <w:bCs/>
        </w:rPr>
        <w:t xml:space="preserve"> dans le Grand Est</w:t>
      </w:r>
    </w:p>
    <w:p w14:paraId="18756EBF" w14:textId="77777777" w:rsidR="00B26269" w:rsidRDefault="00B65059" w:rsidP="00B65059">
      <w:pPr>
        <w:spacing w:before="240"/>
        <w:jc w:val="center"/>
        <w:rPr>
          <w:rFonts w:asciiTheme="minorHAnsi" w:eastAsia="Times New Roman" w:hAnsiTheme="minorHAnsi" w:cs="Arial"/>
          <w:b/>
          <w:bCs/>
          <w:smallCaps/>
          <w:color w:val="403152"/>
          <w:sz w:val="40"/>
          <w:szCs w:val="40"/>
        </w:rPr>
      </w:pPr>
      <w:r>
        <w:rPr>
          <w:rFonts w:asciiTheme="minorHAnsi" w:eastAsia="Times New Roman" w:hAnsiTheme="minorHAnsi" w:cs="Arial"/>
          <w:b/>
          <w:bCs/>
          <w:smallCaps/>
          <w:noProof/>
          <w:color w:val="403152"/>
          <w:sz w:val="40"/>
          <w:szCs w:val="40"/>
        </w:rPr>
        <w:drawing>
          <wp:inline distT="0" distB="0" distL="0" distR="0" wp14:anchorId="6372F6A5" wp14:editId="4C6D12F9">
            <wp:extent cx="4084320" cy="1166710"/>
            <wp:effectExtent l="0" t="0" r="0" b="0"/>
            <wp:docPr id="1" name="Image 1"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clipart&#10;&#10;Description générée automatiquement"/>
                    <pic:cNvPicPr/>
                  </pic:nvPicPr>
                  <pic:blipFill>
                    <a:blip r:embed="rId8"/>
                    <a:stretch>
                      <a:fillRect/>
                    </a:stretch>
                  </pic:blipFill>
                  <pic:spPr>
                    <a:xfrm>
                      <a:off x="0" y="0"/>
                      <a:ext cx="4114558" cy="1175348"/>
                    </a:xfrm>
                    <a:prstGeom prst="rect">
                      <a:avLst/>
                    </a:prstGeom>
                  </pic:spPr>
                </pic:pic>
              </a:graphicData>
            </a:graphic>
          </wp:inline>
        </w:drawing>
      </w:r>
    </w:p>
    <w:p w14:paraId="6C264929" w14:textId="77777777" w:rsidR="00B65059" w:rsidRPr="00511CA7" w:rsidRDefault="00511CA7" w:rsidP="00B65059">
      <w:pPr>
        <w:spacing w:before="240"/>
        <w:jc w:val="center"/>
        <w:rPr>
          <w:rFonts w:asciiTheme="minorHAnsi" w:eastAsia="Times New Roman" w:hAnsiTheme="minorHAnsi" w:cs="Arial"/>
          <w:b/>
          <w:bCs/>
          <w:smallCaps/>
          <w:color w:val="403152"/>
          <w:sz w:val="28"/>
          <w:szCs w:val="28"/>
        </w:rPr>
      </w:pPr>
      <w:r w:rsidRPr="00511CA7">
        <w:rPr>
          <w:rFonts w:asciiTheme="minorHAnsi" w:eastAsia="Times New Roman" w:hAnsiTheme="minorHAnsi" w:cs="Arial"/>
          <w:b/>
          <w:bCs/>
          <w:smallCaps/>
          <w:color w:val="403152"/>
          <w:sz w:val="28"/>
          <w:szCs w:val="28"/>
        </w:rPr>
        <w:t>Action-clef n°1 – Soutien à la mobilité des individus</w:t>
      </w:r>
    </w:p>
    <w:p w14:paraId="13D19771" w14:textId="02399D56" w:rsidR="00511CA7" w:rsidRPr="00A40A84" w:rsidRDefault="00A40A84" w:rsidP="00A40A84">
      <w:pPr>
        <w:spacing w:before="240" w:after="120"/>
        <w:jc w:val="center"/>
        <w:rPr>
          <w:rFonts w:eastAsia="Times New Roman"/>
          <w:i/>
          <w:iCs/>
        </w:rPr>
      </w:pPr>
      <w:r w:rsidRPr="00A40A84">
        <w:rPr>
          <w:rFonts w:eastAsia="Times New Roman"/>
          <w:i/>
          <w:iCs/>
        </w:rPr>
        <w:t>Le programme en quelques mots</w:t>
      </w:r>
      <w:r w:rsidR="00D46ACD">
        <w:rPr>
          <w:rFonts w:eastAsia="Times New Roman"/>
          <w:i/>
          <w:iCs/>
        </w:rPr>
        <w:t xml:space="preserve"> clefs</w:t>
      </w:r>
    </w:p>
    <w:tbl>
      <w:tblPr>
        <w:tblStyle w:val="Grilledutableau"/>
        <w:tblW w:w="975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0D9" w:themeFill="accent4" w:themeFillTint="66"/>
        <w:tblLook w:val="04A0" w:firstRow="1" w:lastRow="0" w:firstColumn="1" w:lastColumn="0" w:noHBand="0" w:noVBand="1"/>
      </w:tblPr>
      <w:tblGrid>
        <w:gridCol w:w="1984"/>
        <w:gridCol w:w="2665"/>
        <w:gridCol w:w="2665"/>
        <w:gridCol w:w="2438"/>
      </w:tblGrid>
      <w:tr w:rsidR="00A40A84" w14:paraId="06FA4AB6" w14:textId="77777777" w:rsidTr="00611ED3">
        <w:trPr>
          <w:trHeight w:val="581"/>
        </w:trPr>
        <w:tc>
          <w:tcPr>
            <w:tcW w:w="1984" w:type="dxa"/>
            <w:shd w:val="clear" w:color="auto" w:fill="CCC0D9" w:themeFill="accent4" w:themeFillTint="66"/>
            <w:vAlign w:val="center"/>
          </w:tcPr>
          <w:p w14:paraId="385F30B6" w14:textId="77777777" w:rsidR="00A40A84" w:rsidRPr="002F3CAA" w:rsidRDefault="00A40A84" w:rsidP="00F05935">
            <w:pPr>
              <w:tabs>
                <w:tab w:val="left" w:pos="1307"/>
              </w:tabs>
              <w:jc w:val="center"/>
              <w:rPr>
                <w:b/>
                <w:bCs/>
              </w:rPr>
            </w:pPr>
            <w:bookmarkStart w:id="0" w:name="_Hlk70610772"/>
            <w:r>
              <w:rPr>
                <w:b/>
                <w:bCs/>
              </w:rPr>
              <w:t>Domaines visés</w:t>
            </w:r>
          </w:p>
        </w:tc>
        <w:tc>
          <w:tcPr>
            <w:tcW w:w="2665" w:type="dxa"/>
            <w:shd w:val="clear" w:color="auto" w:fill="CCC0D9" w:themeFill="accent4" w:themeFillTint="66"/>
            <w:vAlign w:val="center"/>
          </w:tcPr>
          <w:p w14:paraId="36DC767B" w14:textId="6083ABF7" w:rsidR="00A40A84" w:rsidRPr="002F3CAA" w:rsidRDefault="00A40A84" w:rsidP="00F05935">
            <w:pPr>
              <w:tabs>
                <w:tab w:val="left" w:pos="1307"/>
              </w:tabs>
              <w:jc w:val="center"/>
              <w:rPr>
                <w:b/>
                <w:bCs/>
              </w:rPr>
            </w:pPr>
            <w:r w:rsidRPr="002F3CAA">
              <w:rPr>
                <w:b/>
                <w:bCs/>
              </w:rPr>
              <w:t>Porteurs de projet éligibles</w:t>
            </w:r>
          </w:p>
        </w:tc>
        <w:tc>
          <w:tcPr>
            <w:tcW w:w="2665" w:type="dxa"/>
            <w:shd w:val="clear" w:color="auto" w:fill="CCC0D9" w:themeFill="accent4" w:themeFillTint="66"/>
            <w:vAlign w:val="center"/>
          </w:tcPr>
          <w:p w14:paraId="42BA27A6" w14:textId="77777777" w:rsidR="00A40A84" w:rsidRPr="002F3CAA" w:rsidRDefault="00A40A84" w:rsidP="00F05935">
            <w:pPr>
              <w:tabs>
                <w:tab w:val="left" w:pos="1307"/>
              </w:tabs>
              <w:jc w:val="center"/>
              <w:rPr>
                <w:b/>
                <w:bCs/>
              </w:rPr>
            </w:pPr>
            <w:r>
              <w:rPr>
                <w:b/>
                <w:bCs/>
              </w:rPr>
              <w:t>Bénéficiaires finaux</w:t>
            </w:r>
          </w:p>
        </w:tc>
        <w:tc>
          <w:tcPr>
            <w:tcW w:w="2438" w:type="dxa"/>
            <w:shd w:val="clear" w:color="auto" w:fill="CCC0D9" w:themeFill="accent4" w:themeFillTint="66"/>
            <w:vAlign w:val="center"/>
          </w:tcPr>
          <w:p w14:paraId="7A8FD269" w14:textId="4F8E453C" w:rsidR="00A40A84" w:rsidRPr="002F3CAA" w:rsidRDefault="00A40A84" w:rsidP="00F05935">
            <w:pPr>
              <w:tabs>
                <w:tab w:val="left" w:pos="1307"/>
              </w:tabs>
              <w:jc w:val="center"/>
              <w:rPr>
                <w:b/>
                <w:bCs/>
              </w:rPr>
            </w:pPr>
            <w:r>
              <w:rPr>
                <w:b/>
                <w:bCs/>
              </w:rPr>
              <w:t>Typologie de projet</w:t>
            </w:r>
          </w:p>
        </w:tc>
      </w:tr>
      <w:tr w:rsidR="00A40A84" w14:paraId="3C0D2767" w14:textId="77777777" w:rsidTr="00BD497B">
        <w:trPr>
          <w:trHeight w:val="2066"/>
        </w:trPr>
        <w:tc>
          <w:tcPr>
            <w:tcW w:w="1984" w:type="dxa"/>
            <w:shd w:val="clear" w:color="auto" w:fill="E5DFEC" w:themeFill="accent4" w:themeFillTint="33"/>
            <w:vAlign w:val="center"/>
          </w:tcPr>
          <w:p w14:paraId="4B10D287" w14:textId="77777777" w:rsidR="00A40A84" w:rsidRDefault="00A40A84" w:rsidP="00F05935">
            <w:pPr>
              <w:tabs>
                <w:tab w:val="left" w:pos="1307"/>
              </w:tabs>
              <w:jc w:val="center"/>
            </w:pPr>
            <w:r>
              <w:t>Education, formation, jeunesse et sport</w:t>
            </w:r>
          </w:p>
        </w:tc>
        <w:tc>
          <w:tcPr>
            <w:tcW w:w="2665" w:type="dxa"/>
            <w:shd w:val="clear" w:color="auto" w:fill="E5DFEC" w:themeFill="accent4" w:themeFillTint="33"/>
            <w:vAlign w:val="center"/>
          </w:tcPr>
          <w:p w14:paraId="5F69578A" w14:textId="6CBAC776" w:rsidR="00A40A84" w:rsidRDefault="00BD497B" w:rsidP="00F05935">
            <w:pPr>
              <w:tabs>
                <w:tab w:val="left" w:pos="1307"/>
              </w:tabs>
              <w:jc w:val="center"/>
            </w:pPr>
            <w:r>
              <w:t>Toute o</w:t>
            </w:r>
            <w:r w:rsidR="00A40A84">
              <w:t>rganisation active dans les domaines visés : universités, organismes de formation, associations, collectivités</w:t>
            </w:r>
            <w:r>
              <w:t>, etc.</w:t>
            </w:r>
          </w:p>
        </w:tc>
        <w:tc>
          <w:tcPr>
            <w:tcW w:w="2665" w:type="dxa"/>
            <w:shd w:val="clear" w:color="auto" w:fill="E5DFEC" w:themeFill="accent4" w:themeFillTint="33"/>
            <w:vAlign w:val="center"/>
          </w:tcPr>
          <w:p w14:paraId="67502272" w14:textId="04D42289" w:rsidR="00A40A84" w:rsidRPr="00C959B9" w:rsidRDefault="00A40A84" w:rsidP="00F05935">
            <w:pPr>
              <w:jc w:val="center"/>
            </w:pPr>
            <w:r>
              <w:t xml:space="preserve">Apprenants ou personnels des organisations : étudiants, apprentis, </w:t>
            </w:r>
            <w:r w:rsidR="00380D4F">
              <w:t xml:space="preserve">adultes en formation, </w:t>
            </w:r>
            <w:r>
              <w:t>enseignants, doctorants, enseignants-chercheurs</w:t>
            </w:r>
            <w:r w:rsidR="00380D4F">
              <w:t>, etc.</w:t>
            </w:r>
          </w:p>
        </w:tc>
        <w:tc>
          <w:tcPr>
            <w:tcW w:w="2438" w:type="dxa"/>
            <w:shd w:val="clear" w:color="auto" w:fill="E5DFEC" w:themeFill="accent4" w:themeFillTint="33"/>
            <w:vAlign w:val="center"/>
          </w:tcPr>
          <w:p w14:paraId="08465D0A" w14:textId="17CD7094" w:rsidR="00A40A84" w:rsidRDefault="00A40A84" w:rsidP="00F05935">
            <w:pPr>
              <w:tabs>
                <w:tab w:val="left" w:pos="1307"/>
              </w:tabs>
              <w:jc w:val="center"/>
            </w:pPr>
            <w:r>
              <w:t>Période de formation ou de stage à l’étranger (courts ou longs), échanges entre organisations</w:t>
            </w:r>
          </w:p>
        </w:tc>
      </w:tr>
      <w:tr w:rsidR="00A40A84" w14:paraId="1A1B940B" w14:textId="77777777" w:rsidTr="00611ED3">
        <w:trPr>
          <w:trHeight w:val="490"/>
        </w:trPr>
        <w:tc>
          <w:tcPr>
            <w:tcW w:w="1984" w:type="dxa"/>
            <w:shd w:val="clear" w:color="auto" w:fill="CCC0D9" w:themeFill="accent4" w:themeFillTint="66"/>
            <w:vAlign w:val="center"/>
          </w:tcPr>
          <w:p w14:paraId="6AAB931B" w14:textId="4F78B3E4" w:rsidR="00A40A84" w:rsidRPr="002F3CAA" w:rsidRDefault="00A40A84" w:rsidP="00A40A84">
            <w:pPr>
              <w:tabs>
                <w:tab w:val="left" w:pos="1307"/>
              </w:tabs>
              <w:jc w:val="center"/>
              <w:rPr>
                <w:b/>
                <w:bCs/>
              </w:rPr>
            </w:pPr>
            <w:r w:rsidRPr="002F3CAA">
              <w:rPr>
                <w:b/>
                <w:bCs/>
              </w:rPr>
              <w:t>Forme de l’appui financier</w:t>
            </w:r>
          </w:p>
        </w:tc>
        <w:tc>
          <w:tcPr>
            <w:tcW w:w="2665" w:type="dxa"/>
            <w:shd w:val="clear" w:color="auto" w:fill="CCC0D9" w:themeFill="accent4" w:themeFillTint="66"/>
          </w:tcPr>
          <w:p w14:paraId="5A0ED3B1" w14:textId="57DEB6EC" w:rsidR="00A40A84" w:rsidRDefault="00A40A84" w:rsidP="00A40A84">
            <w:pPr>
              <w:tabs>
                <w:tab w:val="left" w:pos="1307"/>
              </w:tabs>
              <w:jc w:val="center"/>
              <w:rPr>
                <w:b/>
                <w:bCs/>
              </w:rPr>
            </w:pPr>
            <w:r>
              <w:rPr>
                <w:b/>
                <w:bCs/>
              </w:rPr>
              <w:t>Volume indicatif de la subvention</w:t>
            </w:r>
          </w:p>
        </w:tc>
        <w:tc>
          <w:tcPr>
            <w:tcW w:w="2665" w:type="dxa"/>
            <w:shd w:val="clear" w:color="auto" w:fill="CCC0D9" w:themeFill="accent4" w:themeFillTint="66"/>
            <w:vAlign w:val="center"/>
          </w:tcPr>
          <w:p w14:paraId="53375078" w14:textId="6C3F78EC" w:rsidR="00A40A84" w:rsidRPr="002F3CAA" w:rsidRDefault="00A40A84" w:rsidP="00A40A84">
            <w:pPr>
              <w:tabs>
                <w:tab w:val="left" w:pos="1307"/>
              </w:tabs>
              <w:jc w:val="center"/>
              <w:rPr>
                <w:b/>
                <w:bCs/>
              </w:rPr>
            </w:pPr>
            <w:r>
              <w:rPr>
                <w:b/>
                <w:bCs/>
              </w:rPr>
              <w:t>Budget total sur ce volet</w:t>
            </w:r>
          </w:p>
        </w:tc>
        <w:tc>
          <w:tcPr>
            <w:tcW w:w="2438" w:type="dxa"/>
            <w:shd w:val="clear" w:color="auto" w:fill="CCC0D9" w:themeFill="accent4" w:themeFillTint="66"/>
            <w:vAlign w:val="center"/>
          </w:tcPr>
          <w:p w14:paraId="0C16E762" w14:textId="0514ACEB" w:rsidR="00A40A84" w:rsidRPr="002F3CAA" w:rsidRDefault="00A40A84" w:rsidP="00A40A84">
            <w:pPr>
              <w:tabs>
                <w:tab w:val="left" w:pos="1307"/>
              </w:tabs>
              <w:jc w:val="center"/>
              <w:rPr>
                <w:b/>
                <w:bCs/>
              </w:rPr>
            </w:pPr>
            <w:r w:rsidRPr="002F3CAA">
              <w:rPr>
                <w:b/>
                <w:bCs/>
              </w:rPr>
              <w:t>Mode de candidature</w:t>
            </w:r>
          </w:p>
        </w:tc>
      </w:tr>
      <w:tr w:rsidR="00A40A84" w14:paraId="77DE083C" w14:textId="77777777" w:rsidTr="00BD497B">
        <w:trPr>
          <w:trHeight w:val="1354"/>
        </w:trPr>
        <w:tc>
          <w:tcPr>
            <w:tcW w:w="1984" w:type="dxa"/>
            <w:shd w:val="clear" w:color="auto" w:fill="E5DFEC" w:themeFill="accent4" w:themeFillTint="33"/>
            <w:vAlign w:val="center"/>
          </w:tcPr>
          <w:p w14:paraId="2F0B26EA" w14:textId="59616E2B" w:rsidR="00A40A84" w:rsidRDefault="00A40A84" w:rsidP="00BD497B">
            <w:pPr>
              <w:tabs>
                <w:tab w:val="left" w:pos="1307"/>
              </w:tabs>
              <w:jc w:val="center"/>
            </w:pPr>
            <w:r>
              <w:t>Subventions</w:t>
            </w:r>
          </w:p>
        </w:tc>
        <w:tc>
          <w:tcPr>
            <w:tcW w:w="2665" w:type="dxa"/>
            <w:shd w:val="clear" w:color="auto" w:fill="E5DFEC" w:themeFill="accent4" w:themeFillTint="33"/>
            <w:vAlign w:val="center"/>
          </w:tcPr>
          <w:p w14:paraId="69888E04" w14:textId="00DE1E96" w:rsidR="00A40A84" w:rsidRDefault="00BD497B" w:rsidP="00BD497B">
            <w:pPr>
              <w:tabs>
                <w:tab w:val="left" w:pos="1307"/>
              </w:tabs>
              <w:jc w:val="center"/>
            </w:pPr>
            <w:r>
              <w:t>Entre 15 000 et 100 000 euros en moyenne</w:t>
            </w:r>
          </w:p>
        </w:tc>
        <w:tc>
          <w:tcPr>
            <w:tcW w:w="2665" w:type="dxa"/>
            <w:shd w:val="clear" w:color="auto" w:fill="E5DFEC" w:themeFill="accent4" w:themeFillTint="33"/>
            <w:vAlign w:val="center"/>
          </w:tcPr>
          <w:p w14:paraId="59E0AC55" w14:textId="05DC251D" w:rsidR="00A40A84" w:rsidRDefault="00A40A84" w:rsidP="00BD497B">
            <w:pPr>
              <w:tabs>
                <w:tab w:val="left" w:pos="1307"/>
              </w:tabs>
              <w:jc w:val="center"/>
            </w:pPr>
            <w:r>
              <w:t>152 millions d’euros pour la France en 2021</w:t>
            </w:r>
          </w:p>
        </w:tc>
        <w:tc>
          <w:tcPr>
            <w:tcW w:w="2438" w:type="dxa"/>
            <w:shd w:val="clear" w:color="auto" w:fill="E5DFEC" w:themeFill="accent4" w:themeFillTint="33"/>
            <w:vAlign w:val="center"/>
          </w:tcPr>
          <w:p w14:paraId="1B40241B" w14:textId="0064AA97" w:rsidR="00A40A84" w:rsidRDefault="00A40A84" w:rsidP="00BD497B">
            <w:pPr>
              <w:tabs>
                <w:tab w:val="left" w:pos="1307"/>
              </w:tabs>
              <w:jc w:val="center"/>
            </w:pPr>
            <w:r>
              <w:t>Appels à projet annuels ou biannuels selon les types de projets/domaines</w:t>
            </w:r>
          </w:p>
        </w:tc>
      </w:tr>
      <w:bookmarkEnd w:id="0"/>
    </w:tbl>
    <w:p w14:paraId="1BEECC87" w14:textId="77777777" w:rsidR="005F3238" w:rsidRPr="000B2303" w:rsidRDefault="005F3238" w:rsidP="0058271D">
      <w:pPr>
        <w:spacing w:before="240"/>
        <w:jc w:val="center"/>
        <w:rPr>
          <w:rFonts w:asciiTheme="minorHAnsi" w:eastAsia="Times New Roman" w:hAnsiTheme="minorHAnsi" w:cs="Arial"/>
          <w:b/>
          <w:bCs/>
          <w:smallCaps/>
          <w:color w:val="403152"/>
        </w:rPr>
      </w:pPr>
    </w:p>
    <w:p w14:paraId="33290BB8" w14:textId="77777777" w:rsidR="008977B6" w:rsidRDefault="00821E53" w:rsidP="005F3238">
      <w:pPr>
        <w:pStyle w:val="EnvTitreparagraphe"/>
        <w:spacing w:before="0"/>
        <w:rPr>
          <w:sz w:val="24"/>
          <w:szCs w:val="24"/>
        </w:rPr>
      </w:pPr>
      <w:r>
        <w:rPr>
          <w:sz w:val="24"/>
          <w:szCs w:val="24"/>
        </w:rPr>
        <w:t xml:space="preserve">Domaines stratégiques pour le Grand Est </w:t>
      </w:r>
      <w:r w:rsidR="00417367">
        <w:rPr>
          <w:sz w:val="24"/>
          <w:szCs w:val="24"/>
        </w:rPr>
        <w:t xml:space="preserve">touchés par </w:t>
      </w:r>
      <w:r>
        <w:rPr>
          <w:sz w:val="24"/>
          <w:szCs w:val="24"/>
        </w:rPr>
        <w:t>le programme</w:t>
      </w:r>
    </w:p>
    <w:p w14:paraId="24739E8D" w14:textId="183E9619" w:rsidR="00562ED4" w:rsidRDefault="00EF4953" w:rsidP="009A6EA3">
      <w:pPr>
        <w:pStyle w:val="Paragraphedeliste"/>
        <w:spacing w:after="120"/>
        <w:ind w:left="0"/>
        <w:jc w:val="both"/>
      </w:pPr>
      <w:bookmarkStart w:id="1" w:name="_Hlk70069968"/>
      <w:r>
        <w:t>L’atteinte des objectifs de</w:t>
      </w:r>
      <w:r w:rsidR="00DF5D3D">
        <w:t xml:space="preserve"> transition énergétique et écologique</w:t>
      </w:r>
      <w:r>
        <w:t xml:space="preserve"> dans le Grand Est</w:t>
      </w:r>
      <w:r w:rsidR="00DF5D3D">
        <w:t xml:space="preserve"> </w:t>
      </w:r>
      <w:bookmarkEnd w:id="1"/>
      <w:r w:rsidR="00DF5D3D">
        <w:t>nécessite</w:t>
      </w:r>
      <w:r w:rsidR="00562ED4">
        <w:t xml:space="preserve"> au préalable</w:t>
      </w:r>
      <w:r w:rsidR="00DF5D3D">
        <w:t xml:space="preserve"> de former les professionnels </w:t>
      </w:r>
      <w:r w:rsidR="00562ED4">
        <w:t>d’un certain nombre de secteurs</w:t>
      </w:r>
      <w:r w:rsidR="00DF5D3D">
        <w:t xml:space="preserve"> aux nouvelles techniques et pratiques de la transition</w:t>
      </w:r>
      <w:r w:rsidR="00562ED4">
        <w:t>, par exemple dans le domaine du bâtiment (recours aux matériaux biosourcés, rénovation énergétique, réutilisation des matériaux, etc.), les énergies renouvelables et de récupération ainsi que la mobilité (fabrication, entretien et maintenance de nouveaux équipements), ou encore l’agriculture.</w:t>
      </w:r>
    </w:p>
    <w:p w14:paraId="6766D7D7" w14:textId="543EE40C" w:rsidR="00F5401C" w:rsidRDefault="00740A12" w:rsidP="009A6EA3">
      <w:pPr>
        <w:spacing w:after="120"/>
        <w:jc w:val="both"/>
      </w:pPr>
      <w:r>
        <w:t xml:space="preserve">Le programme européen Erasmus+ finance </w:t>
      </w:r>
      <w:r w:rsidR="009A6EA3">
        <w:t xml:space="preserve">à travers son action-clef n°1 </w:t>
      </w:r>
      <w:r>
        <w:t xml:space="preserve">des </w:t>
      </w:r>
      <w:r w:rsidRPr="00611ED3">
        <w:t>actions de formation</w:t>
      </w:r>
      <w:r w:rsidR="00F5401C" w:rsidRPr="00611ED3">
        <w:t>,</w:t>
      </w:r>
      <w:r w:rsidRPr="00611ED3">
        <w:t xml:space="preserve"> d’éducation</w:t>
      </w:r>
      <w:r w:rsidR="00F5401C" w:rsidRPr="00611ED3">
        <w:t>,</w:t>
      </w:r>
      <w:r w:rsidR="00F5401C">
        <w:t xml:space="preserve"> et d’échanges internationaux pour les personnels travaillant dans les secteurs visés par le programme (</w:t>
      </w:r>
      <w:r w:rsidR="00F5401C" w:rsidRPr="00A5155C">
        <w:t>enseignement</w:t>
      </w:r>
      <w:r w:rsidR="00F5401C">
        <w:t xml:space="preserve">, </w:t>
      </w:r>
      <w:r w:rsidR="00F5401C" w:rsidRPr="00A5155C">
        <w:t>formation professionnelle</w:t>
      </w:r>
      <w:r w:rsidR="00F5401C">
        <w:t>, jeunesse, sport) ainsi que pour les apprenants</w:t>
      </w:r>
      <w:r w:rsidR="009A6EA3">
        <w:t xml:space="preserve">. </w:t>
      </w:r>
      <w:r w:rsidR="00F5401C" w:rsidRPr="00611ED3">
        <w:t xml:space="preserve">Cette action-clef n°1 du programme Erasmus+ pourrait donc répondre à un besoin de formation à travers la mobilité </w:t>
      </w:r>
      <w:r w:rsidR="00F5401C" w:rsidRPr="00A5155C">
        <w:t>d’apprenants ou de personnels de l’enseignement scolaire, supérieur, de la formation professionnelle mais également d</w:t>
      </w:r>
      <w:r w:rsidR="00F5401C">
        <w:t>’associations ou de</w:t>
      </w:r>
      <w:r w:rsidR="00F5401C" w:rsidRPr="00A5155C">
        <w:t xml:space="preserve"> la Région.</w:t>
      </w:r>
    </w:p>
    <w:p w14:paraId="02965B72" w14:textId="21C0D35C" w:rsidR="00740A12" w:rsidRDefault="00F5401C" w:rsidP="009A6EA3">
      <w:pPr>
        <w:spacing w:after="120"/>
        <w:jc w:val="both"/>
      </w:pPr>
      <w:r>
        <w:t>Le programme Erasmus+</w:t>
      </w:r>
      <w:r w:rsidR="009A6EA3">
        <w:t xml:space="preserve"> finance par ailleurs d’autre projets de coopération avec des cibles plus diverses (notamment des organismes de recherche, entreprises ou associations) sur des thématiques diverses et </w:t>
      </w:r>
      <w:r w:rsidR="009A6EA3">
        <w:lastRenderedPageBreak/>
        <w:t>notamment sur les thématiques liées à la transition écologique et énergétique mais cela concerne l’action-clef n°2 (voir fiche dédiée)</w:t>
      </w:r>
      <w:r w:rsidR="00740A12">
        <w:t xml:space="preserve">. </w:t>
      </w:r>
    </w:p>
    <w:p w14:paraId="27C638B6" w14:textId="4EA286F6" w:rsidR="00562ED4" w:rsidRDefault="00740A12" w:rsidP="00661A59">
      <w:pPr>
        <w:jc w:val="both"/>
      </w:pPr>
      <w:r>
        <w:t xml:space="preserve">L’une des priorités </w:t>
      </w:r>
      <w:r w:rsidR="00F5401C">
        <w:t xml:space="preserve">transversales </w:t>
      </w:r>
      <w:r>
        <w:t xml:space="preserve">du programme est </w:t>
      </w:r>
      <w:r w:rsidRPr="00D72158">
        <w:t>l’environnement et la lutte contre le changement climatique</w:t>
      </w:r>
      <w:r>
        <w:t>, des projets de mobilité lié à la formation d’apprenants ou de personnels sur ces thèmes pourraient donc être envisagés</w:t>
      </w:r>
      <w:r w:rsidR="00EF4953">
        <w:t>.</w:t>
      </w:r>
      <w:r w:rsidR="00F5401C">
        <w:t xml:space="preserve"> </w:t>
      </w:r>
      <w:r>
        <w:t>Si beaucoup de projets ne mobilisent que quelques dizaines de milliers d’euros, des projets d’ampleur peuvent mobiliser plusieurs centaines de milliers d’euros (voir la partie « exemples de projets ») et représente donc une réelle opportunité de financement pour les acteurs de l’enseignement, de la formation et de la jeunesse.</w:t>
      </w:r>
    </w:p>
    <w:p w14:paraId="7A7A5C61" w14:textId="77777777" w:rsidR="006A7CE4" w:rsidRDefault="00417367" w:rsidP="006A7CE4">
      <w:pPr>
        <w:pStyle w:val="EnvTitreparagraphe"/>
        <w:rPr>
          <w:sz w:val="24"/>
          <w:szCs w:val="24"/>
        </w:rPr>
      </w:pPr>
      <w:r>
        <w:rPr>
          <w:sz w:val="24"/>
          <w:szCs w:val="24"/>
        </w:rPr>
        <w:t>Description du programme</w:t>
      </w:r>
    </w:p>
    <w:p w14:paraId="4336F345" w14:textId="77777777" w:rsidR="00E3188C" w:rsidRDefault="00417367" w:rsidP="00E3188C">
      <w:pPr>
        <w:pStyle w:val="Titre1"/>
      </w:pPr>
      <w:r>
        <w:t>Présentation générale</w:t>
      </w:r>
    </w:p>
    <w:p w14:paraId="2E1F65A0" w14:textId="77777777" w:rsidR="009E7AFC" w:rsidRDefault="009E7AFC" w:rsidP="009E7AFC">
      <w:pPr>
        <w:tabs>
          <w:tab w:val="left" w:pos="1307"/>
        </w:tabs>
        <w:jc w:val="both"/>
      </w:pPr>
    </w:p>
    <w:p w14:paraId="058A7083" w14:textId="66BF7A60" w:rsidR="00EF4C59" w:rsidRDefault="00B87366" w:rsidP="000071D8">
      <w:pPr>
        <w:tabs>
          <w:tab w:val="left" w:pos="1307"/>
        </w:tabs>
        <w:spacing w:after="120"/>
        <w:jc w:val="both"/>
      </w:pPr>
      <w:r>
        <w:t>Le programme Erasmus+ est le programme de financement de l’Union européenne dans les domaines de l’éducation, de la formation, de la jeunesse et du sport. Fondé en 1987</w:t>
      </w:r>
      <w:r w:rsidR="000F398D">
        <w:t xml:space="preserve"> et cogéré conjointement par la Commission européenne (</w:t>
      </w:r>
      <w:r w:rsidR="000F398D" w:rsidRPr="000F398D">
        <w:rPr>
          <w:i/>
          <w:iCs/>
        </w:rPr>
        <w:t>via</w:t>
      </w:r>
      <w:r w:rsidR="000F398D">
        <w:t xml:space="preserve"> l’EACEA) et </w:t>
      </w:r>
      <w:r w:rsidR="0021503F">
        <w:t>d</w:t>
      </w:r>
      <w:r w:rsidR="000F398D">
        <w:t>es agences nationales</w:t>
      </w:r>
      <w:r>
        <w:t>, ce programme est surtout connu pour son action de soutien à la mobilité des étudiants</w:t>
      </w:r>
      <w:r w:rsidR="00701B60">
        <w:t>,</w:t>
      </w:r>
      <w:r>
        <w:t xml:space="preserve"> enseignants</w:t>
      </w:r>
      <w:r w:rsidR="00701B60">
        <w:t xml:space="preserve"> et chercheurs (pour des périodes de formation par l’enseignement ou par l’accueil en entreprise)</w:t>
      </w:r>
      <w:r>
        <w:t>.</w:t>
      </w:r>
      <w:r w:rsidR="000071D8">
        <w:t xml:space="preserve"> Cependant le programme vise aujourd’hui un public beaucoup plus large et d’autres publics-cibles ont été inclus dans le programme : apprentis dans le cadre de formations courtes, </w:t>
      </w:r>
      <w:r w:rsidR="00701B60">
        <w:t>apprenants et personnel de l’éducation des adultes (pour des programmes de formation ou d’accueil en entreprise), animateurs socioéducatifs et personnel du secteur de la jeunesse, acteurs du secteur du sport (sauf en 2021).</w:t>
      </w:r>
    </w:p>
    <w:p w14:paraId="2B0B0CB6" w14:textId="77777777" w:rsidR="000A40C2" w:rsidRDefault="009E7AFC" w:rsidP="00CC6522">
      <w:pPr>
        <w:tabs>
          <w:tab w:val="left" w:pos="1307"/>
        </w:tabs>
        <w:spacing w:after="120"/>
        <w:jc w:val="both"/>
      </w:pPr>
      <w:r>
        <w:t xml:space="preserve">Le budget total du programme est de 26 milliards d’euros sur </w:t>
      </w:r>
      <w:r w:rsidR="00B87366">
        <w:t>7</w:t>
      </w:r>
      <w:r>
        <w:t xml:space="preserve"> ans (2021-2027) dont </w:t>
      </w:r>
      <w:r w:rsidRPr="009E7AFC">
        <w:t>2</w:t>
      </w:r>
      <w:r>
        <w:t>,</w:t>
      </w:r>
      <w:r w:rsidRPr="009E7AFC">
        <w:t>453</w:t>
      </w:r>
      <w:r>
        <w:t xml:space="preserve"> seront alloués dans le cadre de l’appel à propositions 2021</w:t>
      </w:r>
      <w:r w:rsidR="00B87366">
        <w:t xml:space="preserve"> qui s’est ouvert fin mars.</w:t>
      </w:r>
      <w:r w:rsidR="00EF4C59">
        <w:t xml:space="preserve"> </w:t>
      </w:r>
      <w:r w:rsidR="002C4350">
        <w:t>Le programme vise t</w:t>
      </w:r>
      <w:r w:rsidRPr="009E7AFC">
        <w:t xml:space="preserve">out organisme public ou privé </w:t>
      </w:r>
      <w:r w:rsidRPr="00611ED3">
        <w:t>œuvrant dans les domaines de l’éducation, de la formation, de la jeunesse et du sport</w:t>
      </w:r>
      <w:r>
        <w:t xml:space="preserve"> ainsi que </w:t>
      </w:r>
      <w:r w:rsidR="000F398D">
        <w:t>l</w:t>
      </w:r>
      <w:r>
        <w:t>es groupes d’actifs dans le domaine de la jeunesse pour certaines activités.</w:t>
      </w:r>
      <w:r w:rsidR="002C4350">
        <w:t xml:space="preserve"> </w:t>
      </w:r>
    </w:p>
    <w:p w14:paraId="61F361A8" w14:textId="6A73A1A6" w:rsidR="00CC6522" w:rsidRDefault="008D5122" w:rsidP="00CC6522">
      <w:pPr>
        <w:tabs>
          <w:tab w:val="left" w:pos="1307"/>
        </w:tabs>
        <w:spacing w:after="120"/>
        <w:jc w:val="both"/>
      </w:pPr>
      <w:r>
        <w:t xml:space="preserve">Si les bénéficiaires finaux des subventions </w:t>
      </w:r>
      <w:r w:rsidR="000A40C2">
        <w:t xml:space="preserve">peuvent </w:t>
      </w:r>
      <w:r w:rsidR="00CA778D">
        <w:t xml:space="preserve">être </w:t>
      </w:r>
      <w:r>
        <w:t>des particuliers (</w:t>
      </w:r>
      <w:r w:rsidR="000A40C2">
        <w:t xml:space="preserve">d’autant plus </w:t>
      </w:r>
      <w:r>
        <w:t xml:space="preserve">pour </w:t>
      </w:r>
      <w:r w:rsidR="000A40C2">
        <w:t>l’action-clef n°1</w:t>
      </w:r>
      <w:r>
        <w:t>), ce sont bien les organisations qui sont responsables de candidater avec leurs projets de mobilité</w:t>
      </w:r>
      <w:r w:rsidR="00843125">
        <w:t>/</w:t>
      </w:r>
      <w:r>
        <w:t xml:space="preserve">de coopération pour permettre la mobilité de </w:t>
      </w:r>
      <w:r w:rsidRPr="00611ED3">
        <w:t>leurs apprenants ou personnels</w:t>
      </w:r>
      <w:r w:rsidR="005651B3" w:rsidRPr="00611ED3">
        <w:t> :</w:t>
      </w:r>
      <w:r w:rsidR="005651B3">
        <w:t xml:space="preserve"> par exemple, pour pouvoir proposer à ses étudiants et à </w:t>
      </w:r>
      <w:r w:rsidR="008B782A">
        <w:t>ses enseignants et formateurs</w:t>
      </w:r>
      <w:r w:rsidR="005651B3">
        <w:t xml:space="preserve"> des projets de mobilité internationale soutenu par le programme Erasmus+</w:t>
      </w:r>
      <w:r w:rsidR="00B249BE">
        <w:t xml:space="preserve"> (que ce soit pour un cursus d’études</w:t>
      </w:r>
      <w:r w:rsidR="008B782A">
        <w:t>,</w:t>
      </w:r>
      <w:r w:rsidR="00B249BE">
        <w:t xml:space="preserve"> un stage en entreprise</w:t>
      </w:r>
      <w:r w:rsidR="008B782A">
        <w:t xml:space="preserve"> ou des missions d’enseignement</w:t>
      </w:r>
      <w:r w:rsidR="00B249BE">
        <w:t>)</w:t>
      </w:r>
      <w:r w:rsidR="005651B3">
        <w:t xml:space="preserve">, </w:t>
      </w:r>
      <w:r w:rsidR="00B249BE">
        <w:t xml:space="preserve">c’est </w:t>
      </w:r>
      <w:r w:rsidR="005651B3">
        <w:t xml:space="preserve">à une école d’ingénieur </w:t>
      </w:r>
      <w:r w:rsidR="00B249BE">
        <w:t>de déposer une candidature au programme.</w:t>
      </w:r>
    </w:p>
    <w:p w14:paraId="50F64512" w14:textId="77777777" w:rsidR="00CC6522" w:rsidRDefault="00CC6522" w:rsidP="00CC6522">
      <w:pPr>
        <w:tabs>
          <w:tab w:val="left" w:pos="1307"/>
        </w:tabs>
        <w:jc w:val="both"/>
      </w:pPr>
      <w:r>
        <w:t>Plusieurs caractéristiques du programme sont à prendre en compte dans la construction d’un projet Erasmus+ :</w:t>
      </w:r>
    </w:p>
    <w:p w14:paraId="12C4919E" w14:textId="77777777" w:rsidR="00CC6522" w:rsidRDefault="00CC6522" w:rsidP="00CC6522">
      <w:pPr>
        <w:pStyle w:val="Paragraphedeliste"/>
        <w:numPr>
          <w:ilvl w:val="0"/>
          <w:numId w:val="31"/>
        </w:numPr>
      </w:pPr>
      <w:r>
        <w:t>Protection, santé et sécurité des participants (assurances obligatoires)</w:t>
      </w:r>
    </w:p>
    <w:p w14:paraId="1A131838" w14:textId="77777777" w:rsidR="00CC6522" w:rsidRDefault="00CC6522" w:rsidP="00CC6522">
      <w:pPr>
        <w:pStyle w:val="Paragraphedeliste"/>
        <w:numPr>
          <w:ilvl w:val="0"/>
          <w:numId w:val="31"/>
        </w:numPr>
      </w:pPr>
      <w:r>
        <w:t>Multilinguisme et dimension internationale (pas de projet franco-français)</w:t>
      </w:r>
    </w:p>
    <w:p w14:paraId="6994CA33" w14:textId="77777777" w:rsidR="00CC6522" w:rsidRDefault="00CC6522" w:rsidP="00CC6522">
      <w:pPr>
        <w:pStyle w:val="Paragraphedeliste"/>
        <w:numPr>
          <w:ilvl w:val="0"/>
          <w:numId w:val="31"/>
        </w:numPr>
      </w:pPr>
      <w:r>
        <w:t>R</w:t>
      </w:r>
      <w:r w:rsidRPr="00EE5F27">
        <w:t>econnaissance et validation des compétences</w:t>
      </w:r>
      <w:r>
        <w:t xml:space="preserve"> par des </w:t>
      </w:r>
      <w:r w:rsidRPr="00EE5F27">
        <w:t>certifications</w:t>
      </w:r>
      <w:r>
        <w:t xml:space="preserve"> à prévoir</w:t>
      </w:r>
    </w:p>
    <w:p w14:paraId="0C1DE6AA" w14:textId="77777777" w:rsidR="00CC6522" w:rsidRDefault="00CC6522" w:rsidP="00CC6522">
      <w:pPr>
        <w:pStyle w:val="Paragraphedeliste"/>
        <w:numPr>
          <w:ilvl w:val="0"/>
          <w:numId w:val="31"/>
        </w:numPr>
      </w:pPr>
      <w:r>
        <w:t>Une communication obligatoire au sujet des projets et de leurs résultats</w:t>
      </w:r>
    </w:p>
    <w:p w14:paraId="7226BCF4" w14:textId="77777777" w:rsidR="00CC6522" w:rsidRDefault="00CC6522" w:rsidP="00CC6522">
      <w:pPr>
        <w:pStyle w:val="Paragraphedeliste"/>
        <w:numPr>
          <w:ilvl w:val="0"/>
          <w:numId w:val="31"/>
        </w:numPr>
      </w:pPr>
      <w:r>
        <w:t>Une stricte e</w:t>
      </w:r>
      <w:r w:rsidRPr="00EE5F27">
        <w:t>xigence de libre accès aux matériels didactiques dans le cadre d’Erasmus+</w:t>
      </w:r>
    </w:p>
    <w:p w14:paraId="532BDB7E" w14:textId="77777777" w:rsidR="00CC6522" w:rsidRDefault="00CC6522" w:rsidP="00CC6522">
      <w:pPr>
        <w:pStyle w:val="Paragraphedeliste"/>
        <w:numPr>
          <w:ilvl w:val="0"/>
          <w:numId w:val="31"/>
        </w:numPr>
        <w:spacing w:after="120"/>
        <w:ind w:left="1066" w:hanging="357"/>
      </w:pPr>
      <w:r>
        <w:t>Le libre accès pour la recherche et les données dans le cadre d’Erasmus+</w:t>
      </w:r>
    </w:p>
    <w:p w14:paraId="54905E8B" w14:textId="77777777" w:rsidR="00CC6522" w:rsidRPr="00C31B43" w:rsidRDefault="00CC6522" w:rsidP="00CC6522">
      <w:r>
        <w:t xml:space="preserve">Pour plus d’informations sur chacune de ces caractéristiques, voir page 11 du </w:t>
      </w:r>
      <w:hyperlink r:id="rId9" w:history="1">
        <w:r w:rsidRPr="00AD4767">
          <w:rPr>
            <w:rStyle w:val="Lienhypertexte"/>
          </w:rPr>
          <w:t>guide du programme</w:t>
        </w:r>
      </w:hyperlink>
      <w:r>
        <w:t>.</w:t>
      </w:r>
    </w:p>
    <w:p w14:paraId="4187D84E" w14:textId="77777777" w:rsidR="00417367" w:rsidRDefault="00417367" w:rsidP="00417367">
      <w:pPr>
        <w:pStyle w:val="Titre1"/>
      </w:pPr>
      <w:r>
        <w:t>Types de projets éligibles</w:t>
      </w:r>
      <w:r w:rsidR="00CC6522">
        <w:t xml:space="preserve"> à l’a</w:t>
      </w:r>
      <w:r w:rsidR="00CC6522" w:rsidRPr="00CC6522">
        <w:t>ction-clef n°1</w:t>
      </w:r>
      <w:r w:rsidR="00CC6522">
        <w:t xml:space="preserve"> : </w:t>
      </w:r>
      <w:r w:rsidR="00CC6522" w:rsidRPr="00CC6522">
        <w:t>mobilité des individus à des fins d’apprentissages</w:t>
      </w:r>
    </w:p>
    <w:p w14:paraId="13821210" w14:textId="77777777" w:rsidR="001B059A" w:rsidRDefault="001B059A" w:rsidP="001B059A">
      <w:pPr>
        <w:tabs>
          <w:tab w:val="left" w:pos="1307"/>
        </w:tabs>
        <w:jc w:val="both"/>
      </w:pPr>
    </w:p>
    <w:p w14:paraId="7FFBAE99" w14:textId="77777777" w:rsidR="00B739D3" w:rsidRDefault="008D5122" w:rsidP="00E53559">
      <w:pPr>
        <w:tabs>
          <w:tab w:val="left" w:pos="1307"/>
        </w:tabs>
        <w:jc w:val="both"/>
      </w:pPr>
      <w:r>
        <w:t xml:space="preserve">L’action-clef </w:t>
      </w:r>
      <w:r w:rsidR="00B739D3">
        <w:t xml:space="preserve">n°1 </w:t>
      </w:r>
      <w:r>
        <w:t xml:space="preserve">est celle dédiée à la mobilité des apprenants et des personnels </w:t>
      </w:r>
      <w:r w:rsidRPr="008D5122">
        <w:t xml:space="preserve">de l’enseignement supérieur, de la formation professionnelle, de l’enseignement scolaire, de l’éducation des adultes, </w:t>
      </w:r>
      <w:r>
        <w:t xml:space="preserve">des </w:t>
      </w:r>
      <w:r w:rsidRPr="008D5122">
        <w:t xml:space="preserve">organisations du domaine de la jeunesse, </w:t>
      </w:r>
      <w:r>
        <w:t xml:space="preserve">des </w:t>
      </w:r>
      <w:r w:rsidRPr="008D5122">
        <w:t>jeunes</w:t>
      </w:r>
      <w:r>
        <w:t xml:space="preserve"> et</w:t>
      </w:r>
      <w:r w:rsidRPr="008D5122">
        <w:t xml:space="preserve"> animateurs socioéducatifs.</w:t>
      </w:r>
    </w:p>
    <w:p w14:paraId="75662C06" w14:textId="77777777" w:rsidR="00CA778D" w:rsidRPr="00CA778D" w:rsidRDefault="00CA0542" w:rsidP="00CC6522">
      <w:pPr>
        <w:pStyle w:val="Titre2"/>
      </w:pPr>
      <w:r>
        <w:lastRenderedPageBreak/>
        <w:t>Quel projet ?</w:t>
      </w:r>
    </w:p>
    <w:p w14:paraId="6BB3D98A" w14:textId="77777777" w:rsidR="008D5122" w:rsidRDefault="00B65F4B" w:rsidP="00CC6522">
      <w:pPr>
        <w:pStyle w:val="Paragraphedeliste"/>
        <w:numPr>
          <w:ilvl w:val="0"/>
          <w:numId w:val="35"/>
        </w:numPr>
        <w:tabs>
          <w:tab w:val="left" w:pos="1307"/>
        </w:tabs>
        <w:jc w:val="both"/>
      </w:pPr>
      <w:r>
        <w:t>V</w:t>
      </w:r>
      <w:r w:rsidR="00A141B5">
        <w:t>olume budgétaire</w:t>
      </w:r>
      <w:r>
        <w:t> : entre 15 000€ et 100 000€ (à titre indicatif), en fonction du nombre de participants</w:t>
      </w:r>
    </w:p>
    <w:p w14:paraId="6DAD6A9B" w14:textId="77777777" w:rsidR="00A141B5" w:rsidRDefault="00B65F4B" w:rsidP="00CC6522">
      <w:pPr>
        <w:pStyle w:val="Paragraphedeliste"/>
        <w:numPr>
          <w:ilvl w:val="0"/>
          <w:numId w:val="35"/>
        </w:numPr>
        <w:tabs>
          <w:tab w:val="left" w:pos="1307"/>
        </w:tabs>
        <w:jc w:val="both"/>
      </w:pPr>
      <w:r>
        <w:t>D</w:t>
      </w:r>
      <w:r w:rsidR="00B739D3">
        <w:t>urée des projets</w:t>
      </w:r>
      <w:r>
        <w:t> : 3 à 26 mois</w:t>
      </w:r>
    </w:p>
    <w:p w14:paraId="30DFB6AB" w14:textId="77777777" w:rsidR="00B65F4B" w:rsidRDefault="00B65F4B" w:rsidP="00CC6522">
      <w:pPr>
        <w:pStyle w:val="Paragraphedeliste"/>
        <w:numPr>
          <w:ilvl w:val="0"/>
          <w:numId w:val="35"/>
        </w:numPr>
        <w:tabs>
          <w:tab w:val="left" w:pos="1307"/>
        </w:tabs>
        <w:jc w:val="both"/>
      </w:pPr>
      <w:r>
        <w:t xml:space="preserve">Deux types de projets : </w:t>
      </w:r>
    </w:p>
    <w:p w14:paraId="116F896D" w14:textId="77777777" w:rsidR="00B65F4B" w:rsidRDefault="00B65F4B" w:rsidP="00CC6522">
      <w:pPr>
        <w:pStyle w:val="Paragraphedeliste"/>
        <w:numPr>
          <w:ilvl w:val="1"/>
          <w:numId w:val="36"/>
        </w:numPr>
        <w:tabs>
          <w:tab w:val="left" w:pos="1307"/>
        </w:tabs>
        <w:jc w:val="both"/>
      </w:pPr>
      <w:r>
        <w:t>d</w:t>
      </w:r>
      <w:r w:rsidR="00B1183F">
        <w:t>es projets standards (« projets de mobilité de court terme »)</w:t>
      </w:r>
      <w:r>
        <w:t xml:space="preserve"> évalués au cas par cas</w:t>
      </w:r>
      <w:r w:rsidR="00746FEE">
        <w:t>,</w:t>
      </w:r>
    </w:p>
    <w:p w14:paraId="7EF7E320" w14:textId="77777777" w:rsidR="00B1183F" w:rsidRDefault="00B1183F" w:rsidP="00CC6522">
      <w:pPr>
        <w:pStyle w:val="Paragraphedeliste"/>
        <w:numPr>
          <w:ilvl w:val="1"/>
          <w:numId w:val="36"/>
        </w:numPr>
        <w:tabs>
          <w:tab w:val="left" w:pos="1307"/>
        </w:tabs>
        <w:jc w:val="both"/>
      </w:pPr>
      <w:r>
        <w:t>des projets accrédités pour les organismes faisant la demande d’une accréditation Erasmus dans le domaine visé</w:t>
      </w:r>
      <w:r w:rsidR="00746FEE">
        <w:t xml:space="preserve"> (l’accréditation confère </w:t>
      </w:r>
      <w:r w:rsidR="00746FEE" w:rsidRPr="00746FEE">
        <w:t>un accès garanti et simplifié au financement</w:t>
      </w:r>
      <w:r w:rsidR="00746FEE">
        <w:t>).</w:t>
      </w:r>
    </w:p>
    <w:p w14:paraId="06D13C3D" w14:textId="77777777" w:rsidR="00CA778D" w:rsidRDefault="00CA778D" w:rsidP="00CC6522">
      <w:pPr>
        <w:pStyle w:val="Paragraphedeliste"/>
        <w:numPr>
          <w:ilvl w:val="0"/>
          <w:numId w:val="35"/>
        </w:numPr>
        <w:tabs>
          <w:tab w:val="left" w:pos="1307"/>
        </w:tabs>
        <w:jc w:val="both"/>
      </w:pPr>
      <w:r>
        <w:t>E</w:t>
      </w:r>
      <w:r w:rsidR="00E53559">
        <w:t xml:space="preserve">n fonction des </w:t>
      </w:r>
      <w:r w:rsidR="00B1183F">
        <w:t>domaines/</w:t>
      </w:r>
      <w:r w:rsidR="00E53559">
        <w:t>types de projets</w:t>
      </w:r>
      <w:r>
        <w:t xml:space="preserve">, divers </w:t>
      </w:r>
      <w:r w:rsidR="00321B1F">
        <w:t>postes de financement</w:t>
      </w:r>
      <w:r w:rsidR="00AD4767">
        <w:t xml:space="preserve"> </w:t>
      </w:r>
      <w:r>
        <w:t>peuvent être couverts :</w:t>
      </w:r>
    </w:p>
    <w:p w14:paraId="24009C25" w14:textId="77777777" w:rsidR="009841B5" w:rsidRDefault="009841B5" w:rsidP="00CC6522">
      <w:pPr>
        <w:pStyle w:val="Paragraphedeliste"/>
        <w:numPr>
          <w:ilvl w:val="1"/>
          <w:numId w:val="37"/>
        </w:numPr>
        <w:tabs>
          <w:tab w:val="left" w:pos="1307"/>
        </w:tabs>
        <w:jc w:val="both"/>
        <w:sectPr w:rsidR="009841B5" w:rsidSect="009C7144">
          <w:headerReference w:type="default" r:id="rId10"/>
          <w:footerReference w:type="even" r:id="rId11"/>
          <w:footerReference w:type="default" r:id="rId12"/>
          <w:pgSz w:w="11900" w:h="16840"/>
          <w:pgMar w:top="1276" w:right="985" w:bottom="851" w:left="1134" w:header="709" w:footer="709" w:gutter="0"/>
          <w:cols w:space="708"/>
          <w:docGrid w:linePitch="360"/>
        </w:sectPr>
      </w:pPr>
    </w:p>
    <w:p w14:paraId="467302D2" w14:textId="77777777" w:rsidR="00CA778D" w:rsidRDefault="00321B1F" w:rsidP="00CC6522">
      <w:pPr>
        <w:pStyle w:val="Paragraphedeliste"/>
        <w:numPr>
          <w:ilvl w:val="1"/>
          <w:numId w:val="37"/>
        </w:numPr>
        <w:tabs>
          <w:tab w:val="left" w:pos="1307"/>
        </w:tabs>
        <w:jc w:val="both"/>
      </w:pPr>
      <w:r>
        <w:t>soutien organisationnel,</w:t>
      </w:r>
    </w:p>
    <w:p w14:paraId="454001CA" w14:textId="77777777" w:rsidR="00CA778D" w:rsidRDefault="00321B1F" w:rsidP="00CC6522">
      <w:pPr>
        <w:pStyle w:val="Paragraphedeliste"/>
        <w:numPr>
          <w:ilvl w:val="1"/>
          <w:numId w:val="37"/>
        </w:numPr>
        <w:tabs>
          <w:tab w:val="left" w:pos="1307"/>
        </w:tabs>
        <w:jc w:val="both"/>
      </w:pPr>
      <w:r>
        <w:t>frais de voyage,</w:t>
      </w:r>
    </w:p>
    <w:p w14:paraId="43917182" w14:textId="77777777" w:rsidR="00CA778D" w:rsidRDefault="00321B1F" w:rsidP="00CC6522">
      <w:pPr>
        <w:pStyle w:val="Paragraphedeliste"/>
        <w:numPr>
          <w:ilvl w:val="1"/>
          <w:numId w:val="37"/>
        </w:numPr>
        <w:tabs>
          <w:tab w:val="left" w:pos="1307"/>
        </w:tabs>
        <w:jc w:val="both"/>
      </w:pPr>
      <w:r>
        <w:t>frais de séjour,</w:t>
      </w:r>
    </w:p>
    <w:p w14:paraId="3DBC5ADF" w14:textId="77777777" w:rsidR="00CA778D" w:rsidRDefault="00A141B5" w:rsidP="00CC6522">
      <w:pPr>
        <w:pStyle w:val="Paragraphedeliste"/>
        <w:numPr>
          <w:ilvl w:val="1"/>
          <w:numId w:val="37"/>
        </w:numPr>
        <w:tabs>
          <w:tab w:val="left" w:pos="1307"/>
        </w:tabs>
        <w:jc w:val="both"/>
      </w:pPr>
      <w:r>
        <w:t xml:space="preserve">soutien pour l’inclusion, </w:t>
      </w:r>
    </w:p>
    <w:p w14:paraId="7DF70442" w14:textId="77777777" w:rsidR="00CA778D" w:rsidRDefault="00A141B5" w:rsidP="00CC6522">
      <w:pPr>
        <w:pStyle w:val="Paragraphedeliste"/>
        <w:numPr>
          <w:ilvl w:val="1"/>
          <w:numId w:val="37"/>
        </w:numPr>
        <w:tabs>
          <w:tab w:val="left" w:pos="1307"/>
        </w:tabs>
        <w:jc w:val="both"/>
      </w:pPr>
      <w:r>
        <w:t>visites préparatoires</w:t>
      </w:r>
      <w:r w:rsidR="004A59D9">
        <w:t xml:space="preserve">, </w:t>
      </w:r>
    </w:p>
    <w:p w14:paraId="086B63B9" w14:textId="77777777" w:rsidR="00CA778D" w:rsidRDefault="004A59D9" w:rsidP="00CC6522">
      <w:pPr>
        <w:pStyle w:val="Paragraphedeliste"/>
        <w:numPr>
          <w:ilvl w:val="1"/>
          <w:numId w:val="37"/>
        </w:numPr>
        <w:tabs>
          <w:tab w:val="left" w:pos="1307"/>
        </w:tabs>
        <w:jc w:val="both"/>
      </w:pPr>
      <w:r>
        <w:t xml:space="preserve">frais d’inscription, </w:t>
      </w:r>
    </w:p>
    <w:p w14:paraId="1ADD5A8B" w14:textId="77777777" w:rsidR="00CA778D" w:rsidRDefault="004A59D9" w:rsidP="00CC6522">
      <w:pPr>
        <w:pStyle w:val="Paragraphedeliste"/>
        <w:numPr>
          <w:ilvl w:val="1"/>
          <w:numId w:val="37"/>
        </w:numPr>
        <w:tabs>
          <w:tab w:val="left" w:pos="1307"/>
        </w:tabs>
        <w:jc w:val="both"/>
      </w:pPr>
      <w:r>
        <w:t>soutien logistique</w:t>
      </w:r>
      <w:r w:rsidR="00623650">
        <w:t xml:space="preserve">, </w:t>
      </w:r>
    </w:p>
    <w:p w14:paraId="38E75206" w14:textId="77777777" w:rsidR="00CA778D" w:rsidRDefault="00623650" w:rsidP="00CC6522">
      <w:pPr>
        <w:pStyle w:val="Paragraphedeliste"/>
        <w:numPr>
          <w:ilvl w:val="1"/>
          <w:numId w:val="37"/>
        </w:numPr>
        <w:tabs>
          <w:tab w:val="left" w:pos="1307"/>
        </w:tabs>
        <w:jc w:val="both"/>
      </w:pPr>
      <w:r>
        <w:t>soutien linguistique</w:t>
      </w:r>
      <w:r w:rsidR="00B739D3">
        <w:t>,</w:t>
      </w:r>
    </w:p>
    <w:p w14:paraId="1D428D9E" w14:textId="77777777" w:rsidR="00A141B5" w:rsidRDefault="00A141B5" w:rsidP="00CC6522">
      <w:pPr>
        <w:pStyle w:val="Paragraphedeliste"/>
        <w:numPr>
          <w:ilvl w:val="1"/>
          <w:numId w:val="37"/>
        </w:numPr>
        <w:tabs>
          <w:tab w:val="left" w:pos="1307"/>
        </w:tabs>
        <w:jc w:val="both"/>
      </w:pPr>
      <w:r>
        <w:t>coûts exceptionnels</w:t>
      </w:r>
      <w:r w:rsidR="00B739D3">
        <w:t>.</w:t>
      </w:r>
    </w:p>
    <w:p w14:paraId="1D3FAD48" w14:textId="77777777" w:rsidR="009841B5" w:rsidRDefault="009841B5" w:rsidP="00CC6522">
      <w:pPr>
        <w:pStyle w:val="Paragraphedeliste"/>
        <w:numPr>
          <w:ilvl w:val="0"/>
          <w:numId w:val="35"/>
        </w:numPr>
        <w:tabs>
          <w:tab w:val="left" w:pos="1307"/>
        </w:tabs>
        <w:jc w:val="both"/>
        <w:sectPr w:rsidR="009841B5" w:rsidSect="009841B5">
          <w:type w:val="continuous"/>
          <w:pgSz w:w="11900" w:h="16840"/>
          <w:pgMar w:top="1276" w:right="985" w:bottom="851" w:left="1134" w:header="709" w:footer="709" w:gutter="0"/>
          <w:cols w:num="2" w:space="708"/>
          <w:docGrid w:linePitch="360"/>
        </w:sectPr>
      </w:pPr>
    </w:p>
    <w:p w14:paraId="2EE7768E" w14:textId="77777777" w:rsidR="00746FEE" w:rsidRDefault="00746FEE" w:rsidP="00CC6522">
      <w:pPr>
        <w:pStyle w:val="Paragraphedeliste"/>
        <w:numPr>
          <w:ilvl w:val="0"/>
          <w:numId w:val="35"/>
        </w:numPr>
        <w:tabs>
          <w:tab w:val="left" w:pos="1307"/>
        </w:tabs>
        <w:jc w:val="both"/>
      </w:pPr>
      <w:r>
        <w:t xml:space="preserve">Prise </w:t>
      </w:r>
      <w:r w:rsidR="00623650">
        <w:t xml:space="preserve">en compte </w:t>
      </w:r>
      <w:r w:rsidR="00CC06A2">
        <w:t>d</w:t>
      </w:r>
      <w:r w:rsidR="00623650">
        <w:t xml:space="preserve">es thématiques transversales du programme : </w:t>
      </w:r>
    </w:p>
    <w:p w14:paraId="00BBDF6F" w14:textId="77777777" w:rsidR="00746FEE" w:rsidRDefault="00623650" w:rsidP="00CC6522">
      <w:pPr>
        <w:pStyle w:val="Paragraphedeliste"/>
        <w:numPr>
          <w:ilvl w:val="1"/>
          <w:numId w:val="38"/>
        </w:numPr>
        <w:tabs>
          <w:tab w:val="left" w:pos="1307"/>
        </w:tabs>
        <w:jc w:val="both"/>
      </w:pPr>
      <w:r>
        <w:t xml:space="preserve">inclusion et diversité, </w:t>
      </w:r>
    </w:p>
    <w:p w14:paraId="4277617E" w14:textId="77777777" w:rsidR="00746FEE" w:rsidRDefault="00623650" w:rsidP="00CC6522">
      <w:pPr>
        <w:pStyle w:val="Paragraphedeliste"/>
        <w:numPr>
          <w:ilvl w:val="1"/>
          <w:numId w:val="38"/>
        </w:numPr>
        <w:tabs>
          <w:tab w:val="left" w:pos="1307"/>
        </w:tabs>
        <w:jc w:val="both"/>
      </w:pPr>
      <w:r>
        <w:t xml:space="preserve">pratiques écoresponsables et durable, </w:t>
      </w:r>
    </w:p>
    <w:p w14:paraId="78E3F324" w14:textId="77777777" w:rsidR="00746FEE" w:rsidRDefault="00623650" w:rsidP="00CC6522">
      <w:pPr>
        <w:pStyle w:val="Paragraphedeliste"/>
        <w:numPr>
          <w:ilvl w:val="1"/>
          <w:numId w:val="38"/>
        </w:numPr>
        <w:tabs>
          <w:tab w:val="left" w:pos="1307"/>
        </w:tabs>
        <w:jc w:val="both"/>
      </w:pPr>
      <w:r>
        <w:t xml:space="preserve">passage au numérique, </w:t>
      </w:r>
    </w:p>
    <w:p w14:paraId="5BF3A59C" w14:textId="77777777" w:rsidR="00B1183F" w:rsidRPr="00321B1F" w:rsidRDefault="00623650" w:rsidP="00CA778D">
      <w:pPr>
        <w:pStyle w:val="Paragraphedeliste"/>
        <w:numPr>
          <w:ilvl w:val="1"/>
          <w:numId w:val="38"/>
        </w:numPr>
        <w:tabs>
          <w:tab w:val="left" w:pos="1307"/>
        </w:tabs>
        <w:jc w:val="both"/>
      </w:pPr>
      <w:r>
        <w:t>participation à la vie démocratique</w:t>
      </w:r>
      <w:r w:rsidR="00B739D3">
        <w:t>.</w:t>
      </w:r>
    </w:p>
    <w:p w14:paraId="2D25437D" w14:textId="77777777" w:rsidR="00CA778D" w:rsidRPr="00CA778D" w:rsidRDefault="00CA0542" w:rsidP="00CC6522">
      <w:pPr>
        <w:pStyle w:val="Titre2"/>
      </w:pPr>
      <w:r>
        <w:t>Quel</w:t>
      </w:r>
      <w:r w:rsidR="00CA778D" w:rsidRPr="00CA778D">
        <w:t xml:space="preserve"> partenariat</w:t>
      </w:r>
      <w:r>
        <w:t> ?</w:t>
      </w:r>
    </w:p>
    <w:p w14:paraId="099AE8E2" w14:textId="77777777" w:rsidR="00F31770" w:rsidRDefault="00F31770" w:rsidP="00321B1F">
      <w:pPr>
        <w:pStyle w:val="Paragraphedeliste"/>
        <w:numPr>
          <w:ilvl w:val="0"/>
          <w:numId w:val="39"/>
        </w:numPr>
        <w:tabs>
          <w:tab w:val="left" w:pos="1307"/>
        </w:tabs>
        <w:jc w:val="both"/>
      </w:pPr>
      <w:r>
        <w:t xml:space="preserve">Les structures concernées par ces projets de mobilités : </w:t>
      </w:r>
    </w:p>
    <w:p w14:paraId="16E4CABF" w14:textId="77777777" w:rsidR="00F31770" w:rsidRDefault="008B4D9C" w:rsidP="00321B1F">
      <w:pPr>
        <w:pStyle w:val="Paragraphedeliste"/>
        <w:numPr>
          <w:ilvl w:val="1"/>
          <w:numId w:val="40"/>
        </w:numPr>
        <w:tabs>
          <w:tab w:val="left" w:pos="1307"/>
        </w:tabs>
        <w:jc w:val="both"/>
      </w:pPr>
      <w:r>
        <w:t>les établissements scolaires des filières générales, techniques ou professionnelles (privés ou publics),</w:t>
      </w:r>
    </w:p>
    <w:p w14:paraId="6242AE0B" w14:textId="77777777" w:rsidR="00F31770" w:rsidRDefault="008B4D9C" w:rsidP="00321B1F">
      <w:pPr>
        <w:pStyle w:val="Paragraphedeliste"/>
        <w:numPr>
          <w:ilvl w:val="1"/>
          <w:numId w:val="40"/>
        </w:numPr>
        <w:tabs>
          <w:tab w:val="left" w:pos="1307"/>
        </w:tabs>
        <w:jc w:val="both"/>
      </w:pPr>
      <w:r>
        <w:t>les établissements de l’enseignement supérieur,</w:t>
      </w:r>
    </w:p>
    <w:p w14:paraId="331BBFBA" w14:textId="77777777" w:rsidR="00F31770" w:rsidRDefault="008B4D9C" w:rsidP="00321B1F">
      <w:pPr>
        <w:pStyle w:val="Paragraphedeliste"/>
        <w:numPr>
          <w:ilvl w:val="1"/>
          <w:numId w:val="40"/>
        </w:numPr>
        <w:tabs>
          <w:tab w:val="left" w:pos="1307"/>
        </w:tabs>
        <w:jc w:val="both"/>
      </w:pPr>
      <w:r>
        <w:t>les organismes de formations,</w:t>
      </w:r>
    </w:p>
    <w:p w14:paraId="4A971358" w14:textId="77777777" w:rsidR="00320E04" w:rsidRPr="00611ED3" w:rsidRDefault="008B4D9C" w:rsidP="00321B1F">
      <w:pPr>
        <w:pStyle w:val="Paragraphedeliste"/>
        <w:numPr>
          <w:ilvl w:val="1"/>
          <w:numId w:val="40"/>
        </w:numPr>
      </w:pPr>
      <w:r>
        <w:t>l</w:t>
      </w:r>
      <w:r w:rsidRPr="00F31770">
        <w:t>es associations</w:t>
      </w:r>
      <w:r>
        <w:t xml:space="preserve"> et </w:t>
      </w:r>
      <w:r w:rsidRPr="00611ED3">
        <w:t>autres organisations d’animation socio-éducative,</w:t>
      </w:r>
    </w:p>
    <w:p w14:paraId="20CDE978" w14:textId="77777777" w:rsidR="00F31770" w:rsidRPr="00611ED3" w:rsidRDefault="008B4D9C" w:rsidP="00321B1F">
      <w:pPr>
        <w:pStyle w:val="Paragraphedeliste"/>
        <w:numPr>
          <w:ilvl w:val="1"/>
          <w:numId w:val="40"/>
        </w:numPr>
      </w:pPr>
      <w:r w:rsidRPr="00611ED3">
        <w:t xml:space="preserve">les collectivités </w:t>
      </w:r>
      <w:r w:rsidR="00F31770" w:rsidRPr="00611ED3">
        <w:t>territoriales</w:t>
      </w:r>
      <w:r w:rsidR="002746ED" w:rsidRPr="00611ED3">
        <w:t xml:space="preserve"> </w:t>
      </w:r>
      <w:r w:rsidR="00746FEE" w:rsidRPr="00611ED3">
        <w:t>et</w:t>
      </w:r>
      <w:r w:rsidR="002746ED" w:rsidRPr="00611ED3">
        <w:t xml:space="preserve"> t</w:t>
      </w:r>
      <w:r w:rsidR="00F31770" w:rsidRPr="00611ED3">
        <w:t xml:space="preserve">out </w:t>
      </w:r>
      <w:r w:rsidR="00320E04" w:rsidRPr="00611ED3">
        <w:t xml:space="preserve">autre </w:t>
      </w:r>
      <w:r w:rsidR="00F31770" w:rsidRPr="00611ED3">
        <w:t>type de structure publique ou privée intervenant dans le champ de l’éducation, de la formation, de la jeunesse ou du sport.</w:t>
      </w:r>
    </w:p>
    <w:p w14:paraId="1682538C" w14:textId="77777777" w:rsidR="00746FEE" w:rsidRDefault="00A141B5" w:rsidP="00321B1F">
      <w:pPr>
        <w:pStyle w:val="Paragraphedeliste"/>
        <w:numPr>
          <w:ilvl w:val="0"/>
          <w:numId w:val="39"/>
        </w:numPr>
        <w:tabs>
          <w:tab w:val="left" w:pos="1307"/>
        </w:tabs>
        <w:jc w:val="both"/>
      </w:pPr>
      <w:r>
        <w:t>Type de consortium attendu</w:t>
      </w:r>
      <w:r w:rsidR="00623650">
        <w:t xml:space="preserve"> : </w:t>
      </w:r>
    </w:p>
    <w:p w14:paraId="56C375E4" w14:textId="77777777" w:rsidR="00BA56F7" w:rsidRDefault="00BA56F7" w:rsidP="00BA56F7">
      <w:pPr>
        <w:pStyle w:val="Paragraphedeliste"/>
        <w:numPr>
          <w:ilvl w:val="1"/>
          <w:numId w:val="49"/>
        </w:numPr>
        <w:tabs>
          <w:tab w:val="left" w:pos="1307"/>
        </w:tabs>
        <w:jc w:val="both"/>
      </w:pPr>
      <w:r>
        <w:t>candidature individuelle pour les projets de mobilité de courte durée et la charte ECHE pour les établissements de l’enseignement supérieur,</w:t>
      </w:r>
    </w:p>
    <w:p w14:paraId="238E7F73" w14:textId="77777777" w:rsidR="00BA56F7" w:rsidRDefault="00BA56F7" w:rsidP="00BA56F7">
      <w:pPr>
        <w:pStyle w:val="Paragraphedeliste"/>
        <w:numPr>
          <w:ilvl w:val="1"/>
          <w:numId w:val="49"/>
        </w:numPr>
        <w:tabs>
          <w:tab w:val="left" w:pos="1307"/>
        </w:tabs>
        <w:jc w:val="both"/>
      </w:pPr>
      <w:r>
        <w:t>en consortium pour les échanges de jeunes et mobilité d’animateurs socioéducatifs : au moins une structure d’accueil et une structure d’envoi issues de deux Etats membres différents</w:t>
      </w:r>
    </w:p>
    <w:p w14:paraId="2CBC2D87" w14:textId="77777777" w:rsidR="00BA56F7" w:rsidRPr="00321B1F" w:rsidRDefault="00BA56F7" w:rsidP="00BA56F7">
      <w:pPr>
        <w:pStyle w:val="Paragraphedeliste"/>
        <w:numPr>
          <w:ilvl w:val="1"/>
          <w:numId w:val="49"/>
        </w:numPr>
        <w:tabs>
          <w:tab w:val="left" w:pos="1307"/>
        </w:tabs>
        <w:jc w:val="both"/>
      </w:pPr>
      <w:r>
        <w:t>les accréditations peuvent être obtenues en candidature individuelle ou en consortium</w:t>
      </w:r>
    </w:p>
    <w:p w14:paraId="5E43F7A5" w14:textId="5577A6DF" w:rsidR="00D63C89" w:rsidRDefault="00CA0542" w:rsidP="00BA56F7">
      <w:pPr>
        <w:pStyle w:val="Titre2"/>
      </w:pPr>
      <w:r>
        <w:t>L</w:t>
      </w:r>
      <w:r w:rsidR="00B00863">
        <w:t xml:space="preserve">a procédure </w:t>
      </w:r>
      <w:r w:rsidR="004A59D9" w:rsidRPr="00F31770">
        <w:t xml:space="preserve">de sélection : </w:t>
      </w:r>
    </w:p>
    <w:p w14:paraId="5F1447D7" w14:textId="646D95EB" w:rsidR="006A057E" w:rsidRDefault="006A057E" w:rsidP="00B00863">
      <w:pPr>
        <w:pStyle w:val="Paragraphedeliste"/>
        <w:numPr>
          <w:ilvl w:val="0"/>
          <w:numId w:val="46"/>
        </w:numPr>
      </w:pPr>
      <w:r>
        <w:t>Un dépôt en une seule étape, sur une plateforme en ligne</w:t>
      </w:r>
    </w:p>
    <w:p w14:paraId="5B1D4910" w14:textId="1CFFB005" w:rsidR="00AA3CD4" w:rsidRDefault="00AA3CD4" w:rsidP="00B00863">
      <w:pPr>
        <w:pStyle w:val="Paragraphedeliste"/>
        <w:numPr>
          <w:ilvl w:val="0"/>
          <w:numId w:val="46"/>
        </w:numPr>
      </w:pPr>
      <w:r>
        <w:t>En fonction du type de projet, le taux de succès varie de 35 à 78%. Pour les actions de mobilité des adultes, le taux de succès est d’environ 45%.</w:t>
      </w:r>
    </w:p>
    <w:p w14:paraId="22827328" w14:textId="796DDF2E" w:rsidR="00D63C89" w:rsidRDefault="00D63C89" w:rsidP="001E52C0">
      <w:pPr>
        <w:pStyle w:val="Paragraphedeliste"/>
        <w:numPr>
          <w:ilvl w:val="0"/>
          <w:numId w:val="46"/>
        </w:numPr>
        <w:jc w:val="both"/>
      </w:pPr>
      <w:r>
        <w:t xml:space="preserve">Il est très important d’identifier tout de suite l’action que l’on vise dans le </w:t>
      </w:r>
      <w:hyperlink r:id="rId13" w:history="1">
        <w:r w:rsidRPr="00D63C89">
          <w:rPr>
            <w:rStyle w:val="Lienhypertexte"/>
          </w:rPr>
          <w:t>guide du programme</w:t>
        </w:r>
      </w:hyperlink>
      <w:r>
        <w:t xml:space="preserve"> car en fonction des domaines visés (enseignement supérieur, formation professionnelle, jeunesse, sport) il existe des règles, objectifs, modalités de candidature différente</w:t>
      </w:r>
      <w:r w:rsidR="006112D3">
        <w:t xml:space="preserve"> et l’Agence gérant l’appel à projet est différente (voir section «</w:t>
      </w:r>
      <w:r w:rsidR="00611ED3">
        <w:t xml:space="preserve"> informations pratiques </w:t>
      </w:r>
      <w:hyperlink w:anchor="_Informations_pratiques" w:history="1"/>
      <w:r w:rsidR="006112D3">
        <w:t>» de la fiche).</w:t>
      </w:r>
    </w:p>
    <w:p w14:paraId="2B1CC614" w14:textId="10CE8D6D" w:rsidR="00B00863" w:rsidRPr="00B00863" w:rsidRDefault="00B00863" w:rsidP="00B00863">
      <w:pPr>
        <w:pStyle w:val="Paragraphedeliste"/>
        <w:numPr>
          <w:ilvl w:val="0"/>
          <w:numId w:val="46"/>
        </w:numPr>
      </w:pPr>
      <w:r>
        <w:t>Les 3 critères de sélection :</w:t>
      </w:r>
    </w:p>
    <w:p w14:paraId="25312D53" w14:textId="5EA5815D" w:rsidR="00F31770" w:rsidRDefault="00F31770" w:rsidP="006A057E">
      <w:pPr>
        <w:pStyle w:val="Paragraphedeliste"/>
        <w:numPr>
          <w:ilvl w:val="0"/>
          <w:numId w:val="47"/>
        </w:numPr>
        <w:tabs>
          <w:tab w:val="left" w:pos="1307"/>
        </w:tabs>
        <w:jc w:val="both"/>
      </w:pPr>
      <w:r>
        <w:t>p</w:t>
      </w:r>
      <w:r w:rsidR="004A59D9">
        <w:t>ertinence</w:t>
      </w:r>
      <w:r w:rsidR="00B00863">
        <w:t xml:space="preserve"> au regard des objectifs d</w:t>
      </w:r>
      <w:r w:rsidR="006A057E">
        <w:t xml:space="preserve">e l’action visée </w:t>
      </w:r>
      <w:r w:rsidR="00B00863">
        <w:t>:</w:t>
      </w:r>
      <w:r w:rsidR="006A057E">
        <w:t xml:space="preserve"> </w:t>
      </w:r>
      <w:r w:rsidR="001E52C0">
        <w:t>c</w:t>
      </w:r>
      <w:r w:rsidR="006A057E">
        <w:t xml:space="preserve">haque action, en fonction des domaines visés, </w:t>
      </w:r>
      <w:r w:rsidR="001E52C0">
        <w:t xml:space="preserve">doit soutenir la mise en œuvre </w:t>
      </w:r>
      <w:r w:rsidR="006A057E">
        <w:t>des stratégies</w:t>
      </w:r>
      <w:r w:rsidR="001E52C0">
        <w:t>/textes</w:t>
      </w:r>
      <w:r w:rsidR="006A057E">
        <w:t xml:space="preserve"> particuliers</w:t>
      </w:r>
      <w:r w:rsidR="001E52C0">
        <w:t xml:space="preserve"> (par exemple la stratégie européenne en matière de compétences</w:t>
      </w:r>
      <w:r w:rsidR="00611ED3">
        <w:t>)</w:t>
      </w:r>
      <w:r w:rsidR="006A057E">
        <w:t xml:space="preserve"> et comportent des objectifs </w:t>
      </w:r>
      <w:r w:rsidR="003210E0">
        <w:t xml:space="preserve">et priorités </w:t>
      </w:r>
      <w:r w:rsidR="006A057E">
        <w:t xml:space="preserve">spécifiques listés dans le </w:t>
      </w:r>
      <w:hyperlink r:id="rId14" w:history="1">
        <w:r w:rsidR="006A057E" w:rsidRPr="006A057E">
          <w:rPr>
            <w:rStyle w:val="Lienhypertexte"/>
          </w:rPr>
          <w:t>guide du programme</w:t>
        </w:r>
      </w:hyperlink>
      <w:r w:rsidR="006A057E">
        <w:t>.</w:t>
      </w:r>
      <w:r w:rsidR="003210E0">
        <w:t xml:space="preserve"> Sous ce critère</w:t>
      </w:r>
      <w:r w:rsidR="00611ED3">
        <w:t>,</w:t>
      </w:r>
      <w:r w:rsidR="003210E0">
        <w:t xml:space="preserve"> le profil, l’expérience et les activités du candidat ainsi que le type d’apprenants ciblés et leur pertinence sont également analysés.</w:t>
      </w:r>
    </w:p>
    <w:p w14:paraId="6AA49CFF" w14:textId="78146E76" w:rsidR="00F31770" w:rsidRDefault="00F31770" w:rsidP="00D36CDD">
      <w:pPr>
        <w:pStyle w:val="Paragraphedeliste"/>
        <w:numPr>
          <w:ilvl w:val="0"/>
          <w:numId w:val="47"/>
        </w:numPr>
        <w:tabs>
          <w:tab w:val="left" w:pos="1307"/>
        </w:tabs>
        <w:jc w:val="both"/>
      </w:pPr>
      <w:r>
        <w:lastRenderedPageBreak/>
        <w:t>q</w:t>
      </w:r>
      <w:r w:rsidR="004A59D9">
        <w:t>ualité de la conception du projet</w:t>
      </w:r>
      <w:r w:rsidR="003210E0">
        <w:t> : des besoins, objectifs et activités et des plans de travail pour chaque activité clairs et pertinents. Une attention est également portée sur l’intégration de pratiques écoresponsables et durables ainsi que l’utilisation d’outils numériques.</w:t>
      </w:r>
    </w:p>
    <w:p w14:paraId="4827C64B" w14:textId="42DE95B6" w:rsidR="004A59D9" w:rsidRDefault="00F31770" w:rsidP="00B00863">
      <w:pPr>
        <w:pStyle w:val="Paragraphedeliste"/>
        <w:numPr>
          <w:ilvl w:val="0"/>
          <w:numId w:val="47"/>
        </w:numPr>
        <w:tabs>
          <w:tab w:val="left" w:pos="1307"/>
        </w:tabs>
        <w:jc w:val="both"/>
      </w:pPr>
      <w:r>
        <w:t>q</w:t>
      </w:r>
      <w:r w:rsidR="004A59D9">
        <w:t>ualité de la gestion</w:t>
      </w:r>
      <w:r>
        <w:t>/du suivi</w:t>
      </w:r>
      <w:r w:rsidR="004A59D9">
        <w:t xml:space="preserve"> du projet</w:t>
      </w:r>
      <w:r w:rsidR="003210E0">
        <w:t> : intégration des résultats du projet dans le travail régulier de l’organisation, évaluation des résultats, communication sur le projet.</w:t>
      </w:r>
    </w:p>
    <w:p w14:paraId="38EEF50D" w14:textId="77777777" w:rsidR="00A141B5" w:rsidRDefault="00A141B5" w:rsidP="0021503F">
      <w:pPr>
        <w:tabs>
          <w:tab w:val="left" w:pos="1307"/>
        </w:tabs>
        <w:jc w:val="both"/>
      </w:pPr>
    </w:p>
    <w:p w14:paraId="423BCA57" w14:textId="15AAFE03" w:rsidR="004E793B" w:rsidRDefault="001B059A" w:rsidP="001B059A">
      <w:pPr>
        <w:tabs>
          <w:tab w:val="left" w:pos="1307"/>
        </w:tabs>
      </w:pPr>
      <w:r>
        <w:t xml:space="preserve">Pour un aperçu complet des différents appels à projet, en fonction des domaines et des types de projet, </w:t>
      </w:r>
      <w:r w:rsidR="00D63C89">
        <w:t xml:space="preserve">vous pouvez vous rendre sur la </w:t>
      </w:r>
      <w:hyperlink r:id="rId15" w:anchor="/erasmus-plus/open-calls/key-action/43353406" w:history="1">
        <w:r w:rsidR="00D63C89" w:rsidRPr="00D63C89">
          <w:rPr>
            <w:rStyle w:val="Lienhypertexte"/>
          </w:rPr>
          <w:t xml:space="preserve">plateforme </w:t>
        </w:r>
        <w:r w:rsidR="00D63C89">
          <w:rPr>
            <w:rStyle w:val="Lienhypertexte"/>
          </w:rPr>
          <w:t xml:space="preserve">de dépôt </w:t>
        </w:r>
        <w:r w:rsidR="00D63C89" w:rsidRPr="00D63C89">
          <w:rPr>
            <w:rStyle w:val="Lienhypertexte"/>
          </w:rPr>
          <w:t>en ligne</w:t>
        </w:r>
      </w:hyperlink>
      <w:r w:rsidR="00D63C89">
        <w:t>.</w:t>
      </w:r>
    </w:p>
    <w:p w14:paraId="0ACE448D" w14:textId="77777777" w:rsidR="00EC1DEA" w:rsidRDefault="00C53DDA" w:rsidP="00321B1F">
      <w:pPr>
        <w:pStyle w:val="Titre1"/>
      </w:pPr>
      <w:r>
        <w:t>Dispositions</w:t>
      </w:r>
      <w:r w:rsidR="008D37AB">
        <w:t xml:space="preserve"> administratives et financières</w:t>
      </w:r>
    </w:p>
    <w:p w14:paraId="1A02D4AB" w14:textId="4BDEFB3F" w:rsidR="002B55B9" w:rsidRDefault="00CC6522" w:rsidP="00BA56F7">
      <w:pPr>
        <w:pStyle w:val="Titre2"/>
      </w:pPr>
      <w:r>
        <w:t>Formes de la subvention</w:t>
      </w:r>
    </w:p>
    <w:p w14:paraId="12CE0F68" w14:textId="77777777" w:rsidR="00BA56F7" w:rsidRDefault="00BA56F7" w:rsidP="00BA56F7">
      <w:pPr>
        <w:tabs>
          <w:tab w:val="left" w:pos="1307"/>
        </w:tabs>
        <w:spacing w:after="120"/>
        <w:jc w:val="both"/>
      </w:pPr>
      <w:r>
        <w:t xml:space="preserve">Le budget est en grande partie </w:t>
      </w:r>
      <w:r w:rsidRPr="00843125">
        <w:rPr>
          <w:u w:val="single"/>
        </w:rPr>
        <w:t>construit sur la base de coûts unitaires</w:t>
      </w:r>
      <w:r>
        <w:t>, en fonction du nombre de participants au projet de mobilité et de la distance qu’ils parcourent.</w:t>
      </w:r>
    </w:p>
    <w:p w14:paraId="18446471" w14:textId="4055389A" w:rsidR="00BA56F7" w:rsidRDefault="00BA56F7" w:rsidP="00BA56F7">
      <w:pPr>
        <w:tabs>
          <w:tab w:val="left" w:pos="1307"/>
        </w:tabs>
        <w:jc w:val="both"/>
      </w:pPr>
      <w:r>
        <w:t xml:space="preserve">Dans certains cas particuliers, d’autres formes de subvention peuvent venir compléter ces coûts unitaires (remboursement de dépenses au réel, etc., se référer au </w:t>
      </w:r>
      <w:hyperlink r:id="rId16" w:history="1">
        <w:r w:rsidR="00611ED3" w:rsidRPr="00D63C89">
          <w:rPr>
            <w:rStyle w:val="Lienhypertexte"/>
          </w:rPr>
          <w:t>guide du programme</w:t>
        </w:r>
      </w:hyperlink>
      <w:r w:rsidR="00611ED3" w:rsidRPr="00611ED3">
        <w:rPr>
          <w:rStyle w:val="Lienhypertexte"/>
          <w:u w:val="none"/>
        </w:rPr>
        <w:t xml:space="preserve"> </w:t>
      </w:r>
      <w:r>
        <w:t>pour plus de détails).</w:t>
      </w:r>
    </w:p>
    <w:p w14:paraId="79A56E86" w14:textId="77777777" w:rsidR="002B55B9" w:rsidRDefault="002B55B9" w:rsidP="002746ED">
      <w:pPr>
        <w:pStyle w:val="Titre2"/>
      </w:pPr>
      <w:r>
        <w:t xml:space="preserve">Grands principes </w:t>
      </w:r>
      <w:r w:rsidR="00D5607D">
        <w:t>applicables</w:t>
      </w:r>
    </w:p>
    <w:p w14:paraId="5A8DF2AE" w14:textId="77777777" w:rsidR="00F34B35" w:rsidRPr="00F34B35" w:rsidRDefault="00F34B35" w:rsidP="00F34B35">
      <w:r>
        <w:t>Comme la plupart des programmes européens, les principes suivants sont applicables (sauf exceptions) :</w:t>
      </w:r>
    </w:p>
    <w:p w14:paraId="12A3DB8C" w14:textId="2CB771E0" w:rsidR="0067192E" w:rsidRPr="00CC6522" w:rsidRDefault="00D17D2B" w:rsidP="00CC6522">
      <w:pPr>
        <w:pStyle w:val="Paragraphedeliste"/>
        <w:numPr>
          <w:ilvl w:val="0"/>
          <w:numId w:val="33"/>
        </w:numPr>
        <w:tabs>
          <w:tab w:val="left" w:pos="1307"/>
        </w:tabs>
        <w:ind w:left="1066" w:hanging="357"/>
        <w:contextualSpacing w:val="0"/>
        <w:jc w:val="both"/>
      </w:pPr>
      <w:bookmarkStart w:id="2" w:name="_Hlk70607788"/>
      <w:r w:rsidRPr="006112D3">
        <w:rPr>
          <w:u w:val="single"/>
        </w:rPr>
        <w:t>N</w:t>
      </w:r>
      <w:r w:rsidR="00D5607D" w:rsidRPr="006112D3">
        <w:rPr>
          <w:u w:val="single"/>
        </w:rPr>
        <w:t>on-rétroactivité</w:t>
      </w:r>
      <w:r w:rsidR="008B4D9C" w:rsidRPr="006112D3">
        <w:rPr>
          <w:u w:val="single"/>
        </w:rPr>
        <w:t xml:space="preserve"> des subventions</w:t>
      </w:r>
      <w:r w:rsidR="00D63C89" w:rsidRPr="006112D3">
        <w:rPr>
          <w:u w:val="single"/>
        </w:rPr>
        <w:t> :</w:t>
      </w:r>
      <w:r w:rsidR="00D63C89">
        <w:t xml:space="preserve"> </w:t>
      </w:r>
      <w:r w:rsidR="006112D3">
        <w:t xml:space="preserve">une subvention européenne ne peut être octroyée pour des activités entamées avant </w:t>
      </w:r>
      <w:r w:rsidR="00BC6F9D">
        <w:t>la signature de la convention de subvention</w:t>
      </w:r>
    </w:p>
    <w:p w14:paraId="332A57A3" w14:textId="77BBBE6D" w:rsidR="0067192E" w:rsidRPr="00CC6522" w:rsidRDefault="00D17D2B" w:rsidP="00CC6522">
      <w:pPr>
        <w:pStyle w:val="Paragraphedeliste"/>
        <w:numPr>
          <w:ilvl w:val="0"/>
          <w:numId w:val="33"/>
        </w:numPr>
        <w:tabs>
          <w:tab w:val="left" w:pos="1307"/>
        </w:tabs>
        <w:ind w:left="1066" w:hanging="357"/>
        <w:contextualSpacing w:val="0"/>
        <w:jc w:val="both"/>
      </w:pPr>
      <w:r w:rsidRPr="006112D3">
        <w:rPr>
          <w:u w:val="single"/>
        </w:rPr>
        <w:t>F</w:t>
      </w:r>
      <w:r w:rsidR="00D5607D" w:rsidRPr="006112D3">
        <w:rPr>
          <w:u w:val="single"/>
        </w:rPr>
        <w:t>inancemen</w:t>
      </w:r>
      <w:r w:rsidR="00961464" w:rsidRPr="006112D3">
        <w:rPr>
          <w:u w:val="single"/>
        </w:rPr>
        <w:t>t</w:t>
      </w:r>
      <w:r w:rsidR="00D5607D" w:rsidRPr="006112D3">
        <w:rPr>
          <w:u w:val="single"/>
        </w:rPr>
        <w:t xml:space="preserve"> non cumulatif</w:t>
      </w:r>
      <w:r w:rsidRPr="006112D3">
        <w:rPr>
          <w:u w:val="single"/>
        </w:rPr>
        <w:t> </w:t>
      </w:r>
      <w:r w:rsidR="00377F1D" w:rsidRPr="006112D3">
        <w:rPr>
          <w:u w:val="single"/>
        </w:rPr>
        <w:t>avec d’autres fonds européens (sur</w:t>
      </w:r>
      <w:r w:rsidRPr="006112D3">
        <w:rPr>
          <w:u w:val="single"/>
        </w:rPr>
        <w:t xml:space="preserve"> les mêmes coûts</w:t>
      </w:r>
      <w:r w:rsidR="00377F1D" w:rsidRPr="006112D3">
        <w:rPr>
          <w:u w:val="single"/>
        </w:rPr>
        <w:t>)</w:t>
      </w:r>
      <w:r w:rsidR="006112D3" w:rsidRPr="006112D3">
        <w:rPr>
          <w:u w:val="single"/>
        </w:rPr>
        <w:t> :</w:t>
      </w:r>
      <w:r w:rsidR="006112D3">
        <w:t xml:space="preserve"> les mêmes coûts ne peuvent en aucun cas être financés deux fois par le budget de l’Union quel que soit le programme</w:t>
      </w:r>
      <w:r w:rsidR="00C16D62">
        <w:t xml:space="preserve"> ou l’Autorité de gestion</w:t>
      </w:r>
      <w:r w:rsidR="00611ED3">
        <w:t>.</w:t>
      </w:r>
    </w:p>
    <w:p w14:paraId="7A70D084" w14:textId="7983429D" w:rsidR="0067192E" w:rsidRPr="00CC6522" w:rsidRDefault="00D17D2B" w:rsidP="00CC6522">
      <w:pPr>
        <w:pStyle w:val="Paragraphedeliste"/>
        <w:numPr>
          <w:ilvl w:val="0"/>
          <w:numId w:val="33"/>
        </w:numPr>
        <w:tabs>
          <w:tab w:val="left" w:pos="1307"/>
        </w:tabs>
        <w:ind w:left="1066" w:hanging="357"/>
        <w:contextualSpacing w:val="0"/>
        <w:jc w:val="both"/>
      </w:pPr>
      <w:r w:rsidRPr="006112D3">
        <w:rPr>
          <w:u w:val="single"/>
        </w:rPr>
        <w:t>N</w:t>
      </w:r>
      <w:r w:rsidR="00D5607D" w:rsidRPr="006112D3">
        <w:rPr>
          <w:u w:val="single"/>
        </w:rPr>
        <w:t>on-profit</w:t>
      </w:r>
      <w:r w:rsidR="006112D3" w:rsidRPr="006112D3">
        <w:rPr>
          <w:u w:val="single"/>
        </w:rPr>
        <w:t> :</w:t>
      </w:r>
      <w:r w:rsidR="006112D3">
        <w:t xml:space="preserve"> </w:t>
      </w:r>
      <w:r w:rsidR="00CC6522" w:rsidRPr="00CC6522">
        <w:t>en cas de profit la Commission peut recouvrer un pourcentage</w:t>
      </w:r>
    </w:p>
    <w:p w14:paraId="54FC6305" w14:textId="5C792781" w:rsidR="00DA4808" w:rsidRPr="00CC6522" w:rsidRDefault="00D17D2B" w:rsidP="00CC6522">
      <w:pPr>
        <w:pStyle w:val="Paragraphedeliste"/>
        <w:numPr>
          <w:ilvl w:val="0"/>
          <w:numId w:val="33"/>
        </w:numPr>
        <w:tabs>
          <w:tab w:val="left" w:pos="1307"/>
        </w:tabs>
        <w:ind w:left="1066" w:hanging="357"/>
        <w:contextualSpacing w:val="0"/>
        <w:jc w:val="both"/>
      </w:pPr>
      <w:r w:rsidRPr="006112D3">
        <w:rPr>
          <w:u w:val="single"/>
        </w:rPr>
        <w:t>C</w:t>
      </w:r>
      <w:r w:rsidR="00D5607D" w:rsidRPr="006112D3">
        <w:rPr>
          <w:u w:val="single"/>
        </w:rPr>
        <w:t>ofinancement</w:t>
      </w:r>
      <w:r w:rsidRPr="006112D3">
        <w:rPr>
          <w:u w:val="single"/>
        </w:rPr>
        <w:t> </w:t>
      </w:r>
      <w:r w:rsidR="00CC6522" w:rsidRPr="006112D3">
        <w:rPr>
          <w:u w:val="single"/>
        </w:rPr>
        <w:t>autorisé (mais non obligatoire)</w:t>
      </w:r>
      <w:r w:rsidR="006112D3" w:rsidRPr="006112D3">
        <w:rPr>
          <w:u w:val="single"/>
        </w:rPr>
        <w:t> :</w:t>
      </w:r>
      <w:r w:rsidR="006112D3">
        <w:t xml:space="preserve"> cela peut être des ressources propres du bénéficiaire, des recettes générées par l’action ou des contributions financières de tiers</w:t>
      </w:r>
    </w:p>
    <w:p w14:paraId="716F9573" w14:textId="77777777" w:rsidR="00DA4808" w:rsidRPr="006112D3" w:rsidRDefault="00CC6522" w:rsidP="002B55B9">
      <w:pPr>
        <w:pStyle w:val="Paragraphedeliste"/>
        <w:numPr>
          <w:ilvl w:val="0"/>
          <w:numId w:val="33"/>
        </w:numPr>
        <w:tabs>
          <w:tab w:val="left" w:pos="1307"/>
        </w:tabs>
        <w:jc w:val="both"/>
        <w:rPr>
          <w:u w:val="single"/>
        </w:rPr>
      </w:pPr>
      <w:r w:rsidRPr="006112D3">
        <w:rPr>
          <w:u w:val="single"/>
        </w:rPr>
        <w:t>TVA non éligible</w:t>
      </w:r>
      <w:r w:rsidR="00A544B2" w:rsidRPr="006112D3">
        <w:rPr>
          <w:u w:val="single"/>
        </w:rPr>
        <w:t xml:space="preserve"> si récupérable</w:t>
      </w:r>
    </w:p>
    <w:bookmarkEnd w:id="2"/>
    <w:p w14:paraId="60C5466D" w14:textId="77777777" w:rsidR="000946CB" w:rsidRDefault="000946CB" w:rsidP="002746ED">
      <w:pPr>
        <w:pStyle w:val="Titre2"/>
      </w:pPr>
      <w:r>
        <w:t>En cas de financement</w:t>
      </w:r>
    </w:p>
    <w:p w14:paraId="0B2BA1F0" w14:textId="77777777" w:rsidR="00AD6081" w:rsidRPr="00AD6081" w:rsidRDefault="00DA4808" w:rsidP="00060A41">
      <w:pPr>
        <w:pStyle w:val="Paragraphedeliste"/>
        <w:numPr>
          <w:ilvl w:val="0"/>
          <w:numId w:val="33"/>
        </w:numPr>
        <w:tabs>
          <w:tab w:val="left" w:pos="1307"/>
        </w:tabs>
        <w:spacing w:after="120"/>
        <w:ind w:left="1066" w:hanging="357"/>
        <w:contextualSpacing w:val="0"/>
        <w:jc w:val="both"/>
      </w:pPr>
      <w:r w:rsidRPr="000946CB">
        <w:rPr>
          <w:u w:val="single"/>
        </w:rPr>
        <w:t>Calendrier indicatif pour la notification de la décision d’attribution :</w:t>
      </w:r>
      <w:r w:rsidR="00AD6081">
        <w:t xml:space="preserve"> notification d’attribution et signature de la convention 4 mois après la soumission</w:t>
      </w:r>
      <w:r w:rsidR="00497E4E">
        <w:t xml:space="preserve"> de la candidature.</w:t>
      </w:r>
    </w:p>
    <w:p w14:paraId="23F01B9A" w14:textId="77777777" w:rsidR="00BC3136" w:rsidRPr="00BC3136" w:rsidRDefault="00BC3136" w:rsidP="00BC3136">
      <w:pPr>
        <w:pStyle w:val="Paragraphedeliste"/>
        <w:numPr>
          <w:ilvl w:val="0"/>
          <w:numId w:val="33"/>
        </w:numPr>
        <w:tabs>
          <w:tab w:val="left" w:pos="1307"/>
        </w:tabs>
        <w:spacing w:after="120"/>
        <w:ind w:left="1066" w:hanging="357"/>
        <w:contextualSpacing w:val="0"/>
        <w:jc w:val="both"/>
        <w:rPr>
          <w:u w:val="single"/>
        </w:rPr>
      </w:pPr>
      <w:r w:rsidRPr="000946CB">
        <w:rPr>
          <w:u w:val="single"/>
        </w:rPr>
        <w:t>La convention de subvention :</w:t>
      </w:r>
      <w:r w:rsidRPr="00BC3136">
        <w:t xml:space="preserve"> </w:t>
      </w:r>
      <w:r w:rsidR="00876775">
        <w:t>l</w:t>
      </w:r>
      <w:r>
        <w:t>e modèle de subvention 2021 n’est toujours pas disponible mais vous pouvez retrouver l’édition 20</w:t>
      </w:r>
      <w:r w:rsidR="002206CD">
        <w:t>20</w:t>
      </w:r>
      <w:r>
        <w:t xml:space="preserve"> en cliquan</w:t>
      </w:r>
      <w:r w:rsidR="002206CD">
        <w:t xml:space="preserve">t </w:t>
      </w:r>
      <w:hyperlink r:id="rId17" w:history="1">
        <w:r w:rsidR="002206CD" w:rsidRPr="002206CD">
          <w:rPr>
            <w:rStyle w:val="Lienhypertexte"/>
          </w:rPr>
          <w:t>ici</w:t>
        </w:r>
      </w:hyperlink>
      <w:r w:rsidR="002206CD">
        <w:t>.</w:t>
      </w:r>
    </w:p>
    <w:p w14:paraId="4D5FAB40" w14:textId="77777777" w:rsidR="0006527F" w:rsidRPr="00876775" w:rsidRDefault="00DA4808" w:rsidP="00060A41">
      <w:pPr>
        <w:pStyle w:val="Paragraphedeliste"/>
        <w:numPr>
          <w:ilvl w:val="0"/>
          <w:numId w:val="33"/>
        </w:numPr>
        <w:spacing w:after="120"/>
        <w:ind w:left="1066" w:hanging="357"/>
        <w:contextualSpacing w:val="0"/>
      </w:pPr>
      <w:r w:rsidRPr="00876775">
        <w:rPr>
          <w:u w:val="single"/>
        </w:rPr>
        <w:t>Calendrier de versement :</w:t>
      </w:r>
      <w:r w:rsidR="00665143">
        <w:t xml:space="preserve"> </w:t>
      </w:r>
      <w:r w:rsidR="00876775" w:rsidRPr="00876775">
        <w:t xml:space="preserve">Dans un délai de 30 jours après signature de la convention par l'agence nationale Erasmus+, un préfinancement </w:t>
      </w:r>
      <w:r w:rsidR="00A544B2">
        <w:t>pouvant aller</w:t>
      </w:r>
      <w:r w:rsidR="00A544B2" w:rsidRPr="00876775">
        <w:t xml:space="preserve"> </w:t>
      </w:r>
      <w:r w:rsidR="00060A41">
        <w:t xml:space="preserve">jusqu’à </w:t>
      </w:r>
      <w:r w:rsidR="00876775" w:rsidRPr="00876775">
        <w:t xml:space="preserve">80% de la subvention est </w:t>
      </w:r>
      <w:r w:rsidR="00A544B2">
        <w:t>versé</w:t>
      </w:r>
    </w:p>
    <w:p w14:paraId="6A399AF4" w14:textId="77777777" w:rsidR="00DA4808" w:rsidRPr="00C23DA1" w:rsidRDefault="00DA4808" w:rsidP="00C23DA1">
      <w:pPr>
        <w:pStyle w:val="Paragraphedeliste"/>
        <w:numPr>
          <w:ilvl w:val="0"/>
          <w:numId w:val="33"/>
        </w:numPr>
        <w:tabs>
          <w:tab w:val="left" w:pos="1307"/>
        </w:tabs>
        <w:spacing w:after="120"/>
        <w:ind w:left="1066" w:hanging="357"/>
        <w:contextualSpacing w:val="0"/>
        <w:jc w:val="both"/>
      </w:pPr>
      <w:r w:rsidRPr="000946CB">
        <w:rPr>
          <w:u w:val="single"/>
        </w:rPr>
        <w:t>Garantie financière :</w:t>
      </w:r>
      <w:r w:rsidR="00C23DA1">
        <w:t xml:space="preserve"> s</w:t>
      </w:r>
      <w:r w:rsidR="00C23DA1" w:rsidRPr="00C23DA1">
        <w:t xml:space="preserve">i la capacité financière est jugée trop faible, l’agence nationale ou l’Agence exécutive peut exiger de tout bénéficiaire </w:t>
      </w:r>
      <w:r w:rsidR="00C23DA1">
        <w:t>une garantie financière</w:t>
      </w:r>
      <w:r w:rsidR="00C432E5">
        <w:t xml:space="preserve"> (d’un montant maximal égal au montant du premier préfinancement)</w:t>
      </w:r>
    </w:p>
    <w:p w14:paraId="42F50422" w14:textId="50173EEA" w:rsidR="00F16DFB" w:rsidRPr="0034057A" w:rsidRDefault="00DA4808" w:rsidP="00F16DFB">
      <w:pPr>
        <w:pStyle w:val="Paragraphedeliste"/>
        <w:numPr>
          <w:ilvl w:val="0"/>
          <w:numId w:val="33"/>
        </w:numPr>
        <w:tabs>
          <w:tab w:val="left" w:pos="1307"/>
        </w:tabs>
        <w:spacing w:after="120"/>
        <w:ind w:left="1066" w:hanging="357"/>
        <w:contextualSpacing w:val="0"/>
        <w:jc w:val="both"/>
      </w:pPr>
      <w:r w:rsidRPr="000946CB">
        <w:rPr>
          <w:u w:val="single"/>
        </w:rPr>
        <w:t>Sous-traitance et passation de marché :</w:t>
      </w:r>
      <w:r w:rsidR="00C23DA1">
        <w:t xml:space="preserve"> </w:t>
      </w:r>
      <w:bookmarkStart w:id="3" w:name="_Hlk70607752"/>
      <w:r w:rsidR="00B20B1F">
        <w:t>recours autorisé</w:t>
      </w:r>
      <w:r w:rsidR="00237EEA">
        <w:t xml:space="preserve"> sous certaines conditions spécifiques. </w:t>
      </w:r>
      <w:bookmarkStart w:id="4" w:name="_Hlk70686917"/>
      <w:bookmarkEnd w:id="3"/>
      <w:r w:rsidR="00F16DFB" w:rsidRPr="00F16DFB">
        <w:t>Toute dépense du projet doi</w:t>
      </w:r>
      <w:r w:rsidR="00F16DFB">
        <w:t>t tenir compte</w:t>
      </w:r>
      <w:r w:rsidR="00F16DFB" w:rsidRPr="00F16DFB">
        <w:t xml:space="preserve"> des règles nationales et européennes de la commande publique</w:t>
      </w:r>
      <w:r w:rsidR="00F16DFB">
        <w:t xml:space="preserve"> et respecter des principes de sélection de l’offre la plus avantage</w:t>
      </w:r>
      <w:r w:rsidR="00A60FAB">
        <w:t>use</w:t>
      </w:r>
      <w:r w:rsidR="00F16DFB">
        <w:t>, de transparence et d’absence de conflit d’intérêt</w:t>
      </w:r>
      <w:bookmarkEnd w:id="4"/>
      <w:r w:rsidR="00A60FAB">
        <w:t>.</w:t>
      </w:r>
    </w:p>
    <w:p w14:paraId="2672A415" w14:textId="7222A96C" w:rsidR="00DA4808" w:rsidRPr="00E33441" w:rsidRDefault="00DA4808" w:rsidP="00961464">
      <w:pPr>
        <w:pStyle w:val="Paragraphedeliste"/>
        <w:numPr>
          <w:ilvl w:val="0"/>
          <w:numId w:val="33"/>
        </w:numPr>
        <w:tabs>
          <w:tab w:val="left" w:pos="1307"/>
        </w:tabs>
        <w:spacing w:after="120"/>
        <w:ind w:left="1066" w:hanging="357"/>
        <w:contextualSpacing w:val="0"/>
        <w:jc w:val="both"/>
        <w:rPr>
          <w:u w:val="single"/>
        </w:rPr>
      </w:pPr>
      <w:r w:rsidRPr="000946CB">
        <w:rPr>
          <w:u w:val="single"/>
        </w:rPr>
        <w:t>Contrôles et audits :</w:t>
      </w:r>
      <w:r w:rsidR="00FE1FCE">
        <w:t xml:space="preserve"> </w:t>
      </w:r>
      <w:r w:rsidR="006D0BB1">
        <w:t>l</w:t>
      </w:r>
      <w:r w:rsidR="006D0BB1" w:rsidRPr="006D0BB1">
        <w:t xml:space="preserve">es bénéficiaires sont tenus de conserver les dossiers, pièces justificatives originales, données statistiques et autres documents en rapport avec la subvention </w:t>
      </w:r>
      <w:r w:rsidR="006D0BB1">
        <w:t>au moins 5 années après la date de paiement du solde (3 ans lorsque la subvention ne dépasse pas 60 000 EUR)</w:t>
      </w:r>
    </w:p>
    <w:p w14:paraId="105776C5" w14:textId="3B338F6D" w:rsidR="00E72A09" w:rsidRDefault="006F2036" w:rsidP="00E72A09">
      <w:pPr>
        <w:pStyle w:val="Titre1"/>
      </w:pPr>
      <w:r>
        <w:lastRenderedPageBreak/>
        <w:t>Exemples de projet</w:t>
      </w:r>
    </w:p>
    <w:p w14:paraId="17D33DB0" w14:textId="77777777" w:rsidR="00E72A09" w:rsidRDefault="00E72A09" w:rsidP="00E72A09">
      <w:pPr>
        <w:tabs>
          <w:tab w:val="left" w:pos="1307"/>
        </w:tabs>
        <w:jc w:val="both"/>
      </w:pPr>
    </w:p>
    <w:p w14:paraId="1DF23DEA" w14:textId="77777777" w:rsidR="00E72A09" w:rsidRPr="00963CAF" w:rsidRDefault="00E72A09" w:rsidP="00E72A0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center"/>
        <w:rPr>
          <w:b/>
          <w:bCs/>
        </w:rPr>
      </w:pPr>
      <w:r>
        <w:rPr>
          <w:b/>
          <w:bCs/>
        </w:rPr>
        <w:t>Exemple</w:t>
      </w:r>
      <w:r w:rsidRPr="00963CAF">
        <w:rPr>
          <w:b/>
          <w:bCs/>
        </w:rPr>
        <w:t xml:space="preserve"> n°</w:t>
      </w:r>
      <w:r>
        <w:rPr>
          <w:b/>
          <w:bCs/>
        </w:rPr>
        <w:t>1</w:t>
      </w:r>
      <w:r w:rsidRPr="00963CAF">
        <w:rPr>
          <w:b/>
          <w:bCs/>
        </w:rPr>
        <w:t> :</w:t>
      </w:r>
    </w:p>
    <w:p w14:paraId="713DFD97" w14:textId="27BD37A0" w:rsidR="00E72A09" w:rsidRDefault="00E72A09" w:rsidP="00E72A0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u w:val="single"/>
        </w:rPr>
      </w:pPr>
      <w:r>
        <w:rPr>
          <w:u w:val="single"/>
        </w:rPr>
        <w:t>Porteur de projet :</w:t>
      </w:r>
      <w:r w:rsidRPr="003633CA">
        <w:t xml:space="preserve"> </w:t>
      </w:r>
      <w:r>
        <w:t>Maison pour tous Léo Lagrange</w:t>
      </w:r>
      <w:r w:rsidR="00F16DFB">
        <w:t xml:space="preserve"> (FR)</w:t>
      </w:r>
    </w:p>
    <w:p w14:paraId="723683E9" w14:textId="77777777" w:rsidR="00E72A09" w:rsidRPr="009E19B4" w:rsidRDefault="00E72A09" w:rsidP="00E72A0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lang w:val="en-GB"/>
        </w:rPr>
      </w:pPr>
      <w:r w:rsidRPr="00E72A09">
        <w:rPr>
          <w:u w:val="single"/>
          <w:lang w:val="en-GB"/>
        </w:rPr>
        <w:t>Titre :</w:t>
      </w:r>
      <w:r w:rsidRPr="009E19B4">
        <w:rPr>
          <w:lang w:val="en-GB"/>
        </w:rPr>
        <w:t xml:space="preserve"> No Borders More I</w:t>
      </w:r>
      <w:r>
        <w:rPr>
          <w:lang w:val="en-GB"/>
        </w:rPr>
        <w:t>deas</w:t>
      </w:r>
    </w:p>
    <w:p w14:paraId="306F7DCD" w14:textId="77777777" w:rsidR="00E72A09" w:rsidRPr="00E72A09" w:rsidRDefault="006674D5" w:rsidP="00E72A0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lang w:val="en-GB"/>
        </w:rPr>
      </w:pPr>
      <w:hyperlink r:id="rId18" w:history="1">
        <w:r w:rsidR="00E72A09" w:rsidRPr="00E72A09">
          <w:rPr>
            <w:rStyle w:val="Lienhypertexte"/>
            <w:lang w:val="en-GB"/>
          </w:rPr>
          <w:t>Site web</w:t>
        </w:r>
      </w:hyperlink>
      <w:r w:rsidR="00E72A09" w:rsidRPr="00E72A09">
        <w:rPr>
          <w:lang w:val="en-GB"/>
        </w:rPr>
        <w:t xml:space="preserve">, </w:t>
      </w:r>
      <w:hyperlink r:id="rId19" w:history="1">
        <w:r w:rsidR="00E72A09" w:rsidRPr="00E72A09">
          <w:rPr>
            <w:rStyle w:val="Lienhypertexte"/>
            <w:lang w:val="en-GB"/>
          </w:rPr>
          <w:t>contact 1</w:t>
        </w:r>
      </w:hyperlink>
      <w:r w:rsidR="00E72A09" w:rsidRPr="00E72A09">
        <w:rPr>
          <w:lang w:val="en-GB"/>
        </w:rPr>
        <w:t xml:space="preserve"> et </w:t>
      </w:r>
      <w:hyperlink r:id="rId20" w:history="1">
        <w:r w:rsidR="00E72A09" w:rsidRPr="00E72A09">
          <w:rPr>
            <w:rStyle w:val="Lienhypertexte"/>
            <w:lang w:val="en-GB"/>
          </w:rPr>
          <w:t>contact 2</w:t>
        </w:r>
      </w:hyperlink>
    </w:p>
    <w:p w14:paraId="4039FA90" w14:textId="77777777" w:rsidR="00E72A09" w:rsidRDefault="00E72A09" w:rsidP="00E72A0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8B6AFD">
        <w:rPr>
          <w:u w:val="single"/>
        </w:rPr>
        <w:t>Dates :</w:t>
      </w:r>
      <w:r>
        <w:t xml:space="preserve"> du </w:t>
      </w:r>
      <w:r w:rsidRPr="009E19B4">
        <w:t>01-08-2015</w:t>
      </w:r>
      <w:r>
        <w:t xml:space="preserve"> au</w:t>
      </w:r>
      <w:r w:rsidRPr="009E19B4">
        <w:t xml:space="preserve"> 29-02-2016</w:t>
      </w:r>
    </w:p>
    <w:p w14:paraId="0B4E3F08" w14:textId="77777777" w:rsidR="00E72A09" w:rsidRDefault="00E72A09" w:rsidP="00E72A0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8B6AFD">
        <w:rPr>
          <w:u w:val="single"/>
        </w:rPr>
        <w:t>Référence du projet :</w:t>
      </w:r>
      <w:r>
        <w:t xml:space="preserve"> </w:t>
      </w:r>
      <w:r w:rsidRPr="009E19B4">
        <w:t>2015-2-FR02-KA105-010034</w:t>
      </w:r>
    </w:p>
    <w:p w14:paraId="53D4CBC7" w14:textId="77777777" w:rsidR="00E72A09" w:rsidRDefault="00E72A09" w:rsidP="00E72A0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both"/>
      </w:pPr>
      <w:r w:rsidRPr="008B6AFD">
        <w:rPr>
          <w:u w:val="single"/>
        </w:rPr>
        <w:t>Subvention UE :</w:t>
      </w:r>
      <w:r>
        <w:t xml:space="preserve"> </w:t>
      </w:r>
      <w:r w:rsidRPr="009E19B4">
        <w:t>19184 EUR</w:t>
      </w:r>
    </w:p>
    <w:p w14:paraId="259A8223" w14:textId="77777777" w:rsidR="00E72A09" w:rsidRDefault="00E72A09" w:rsidP="00E72A0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t>Ce projet visait à mettre en œuvre une formation pour des acteurs de jeunesse professionnels et bénévoles de l’Éducation formelle et non formelle afin qu’ils réfléchissent aux atouts de la mobilité internationale pour les jeunes. Les 10 participants venant de France comptaient des professionnels de Mission Locale, GRETA, Animateur(trice), Maison des étudiants, Enseignants. Cette formation a réuni 28 participants et 4 formateurs de 10 nationalités différentes pendant 8 jours.</w:t>
      </w:r>
    </w:p>
    <w:p w14:paraId="337F4152" w14:textId="0521E39C" w:rsidR="00E72A09" w:rsidRDefault="00E72A09" w:rsidP="00E72A09">
      <w:pPr>
        <w:tabs>
          <w:tab w:val="left" w:pos="1307"/>
        </w:tabs>
        <w:jc w:val="both"/>
      </w:pPr>
    </w:p>
    <w:p w14:paraId="00259A96" w14:textId="77777777" w:rsidR="00743F4A" w:rsidRDefault="00743F4A" w:rsidP="00E72A09">
      <w:pPr>
        <w:tabs>
          <w:tab w:val="left" w:pos="1307"/>
        </w:tabs>
        <w:jc w:val="both"/>
      </w:pPr>
    </w:p>
    <w:p w14:paraId="33F9C101" w14:textId="77777777" w:rsidR="00E72A09" w:rsidRPr="00963CAF" w:rsidRDefault="00E72A09" w:rsidP="00E72A0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center"/>
        <w:rPr>
          <w:b/>
          <w:bCs/>
        </w:rPr>
      </w:pPr>
      <w:r>
        <w:rPr>
          <w:b/>
          <w:bCs/>
        </w:rPr>
        <w:t>Exemple</w:t>
      </w:r>
      <w:r w:rsidRPr="00963CAF">
        <w:rPr>
          <w:b/>
          <w:bCs/>
        </w:rPr>
        <w:t xml:space="preserve"> n°</w:t>
      </w:r>
      <w:r>
        <w:rPr>
          <w:b/>
          <w:bCs/>
        </w:rPr>
        <w:t>2</w:t>
      </w:r>
      <w:r w:rsidRPr="00963CAF">
        <w:rPr>
          <w:b/>
          <w:bCs/>
        </w:rPr>
        <w:t> :</w:t>
      </w:r>
    </w:p>
    <w:p w14:paraId="0F6E1184" w14:textId="77777777" w:rsidR="00E72A09" w:rsidRDefault="00E72A09" w:rsidP="00E72A0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u w:val="single"/>
        </w:rPr>
      </w:pPr>
      <w:r>
        <w:rPr>
          <w:u w:val="single"/>
        </w:rPr>
        <w:t>Porteur de projet :</w:t>
      </w:r>
      <w:r w:rsidRPr="003633CA">
        <w:t xml:space="preserve"> la firme ARCH</w:t>
      </w:r>
      <w:r>
        <w:t xml:space="preserve"> (UK)</w:t>
      </w:r>
    </w:p>
    <w:p w14:paraId="0CA2B9BE" w14:textId="77777777" w:rsidR="00E72A09" w:rsidRDefault="00E72A09" w:rsidP="00E72A0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8B6AFD">
        <w:rPr>
          <w:u w:val="single"/>
        </w:rPr>
        <w:t>Titre :</w:t>
      </w:r>
      <w:r>
        <w:t xml:space="preserve"> « </w:t>
      </w:r>
      <w:r w:rsidRPr="00313977">
        <w:t>NET 4 - Gérer nos actifs du patrimoine naturel et culturel</w:t>
      </w:r>
      <w:r>
        <w:t> »</w:t>
      </w:r>
    </w:p>
    <w:p w14:paraId="59BC57C2" w14:textId="77777777" w:rsidR="00E72A09" w:rsidRPr="00167E12" w:rsidRDefault="006674D5" w:rsidP="00E72A0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hyperlink r:id="rId21" w:history="1">
        <w:r w:rsidR="00E72A09" w:rsidRPr="00167E12">
          <w:rPr>
            <w:rStyle w:val="Lienhypertexte"/>
          </w:rPr>
          <w:t>Site web </w:t>
        </w:r>
      </w:hyperlink>
      <w:r w:rsidR="00E72A09">
        <w:rPr>
          <w:u w:val="single"/>
        </w:rPr>
        <w:t xml:space="preserve">et </w:t>
      </w:r>
      <w:hyperlink r:id="rId22" w:history="1">
        <w:r w:rsidR="00E72A09" w:rsidRPr="001B2DEF">
          <w:rPr>
            <w:rStyle w:val="Lienhypertexte"/>
          </w:rPr>
          <w:t>contact</w:t>
        </w:r>
      </w:hyperlink>
    </w:p>
    <w:p w14:paraId="297F8DFC" w14:textId="77777777" w:rsidR="00E72A09" w:rsidRDefault="00E72A09" w:rsidP="00E72A0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8B6AFD">
        <w:rPr>
          <w:u w:val="single"/>
        </w:rPr>
        <w:t>Dates :</w:t>
      </w:r>
      <w:r>
        <w:t xml:space="preserve"> du 01-08-2017 au 30-09-2018</w:t>
      </w:r>
    </w:p>
    <w:p w14:paraId="1D76D497" w14:textId="77777777" w:rsidR="00E72A09" w:rsidRDefault="00E72A09" w:rsidP="00E72A0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8B6AFD">
        <w:rPr>
          <w:u w:val="single"/>
        </w:rPr>
        <w:t>Référence du projet :</w:t>
      </w:r>
      <w:r>
        <w:t xml:space="preserve"> 2017-1-UK01-KA104-035540</w:t>
      </w:r>
    </w:p>
    <w:p w14:paraId="72C668BD" w14:textId="77777777" w:rsidR="00E72A09" w:rsidRDefault="00E72A09" w:rsidP="00E72A0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both"/>
      </w:pPr>
      <w:r w:rsidRPr="008B6AFD">
        <w:rPr>
          <w:u w:val="single"/>
        </w:rPr>
        <w:t>Subvention UE :</w:t>
      </w:r>
      <w:r>
        <w:t xml:space="preserve"> 242 140 EUR</w:t>
      </w:r>
    </w:p>
    <w:p w14:paraId="40AD0A3B" w14:textId="77777777" w:rsidR="00E72A09" w:rsidRDefault="00E72A09" w:rsidP="00E72A0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t>Le projet NET 4 vise à mettre en place des cours spécialisés internationaux pour les participants qui travaillent dans des organisations de protection de la nature qui accordent la priorité au patrimoine naturel et culturel.</w:t>
      </w:r>
    </w:p>
    <w:p w14:paraId="496E3EBE" w14:textId="3DA827D6" w:rsidR="00E72A09" w:rsidRDefault="00E72A09" w:rsidP="00E72A09">
      <w:pPr>
        <w:tabs>
          <w:tab w:val="left" w:pos="1307"/>
        </w:tabs>
        <w:jc w:val="both"/>
      </w:pPr>
    </w:p>
    <w:p w14:paraId="770D112F" w14:textId="77777777" w:rsidR="00743F4A" w:rsidRDefault="00743F4A" w:rsidP="00E72A09">
      <w:pPr>
        <w:tabs>
          <w:tab w:val="left" w:pos="1307"/>
        </w:tabs>
        <w:jc w:val="both"/>
      </w:pPr>
    </w:p>
    <w:p w14:paraId="2569D98A" w14:textId="77777777" w:rsidR="00E72A09" w:rsidRPr="00BA58BA" w:rsidRDefault="00E72A09" w:rsidP="00E72A0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center"/>
        <w:rPr>
          <w:b/>
          <w:bCs/>
        </w:rPr>
      </w:pPr>
      <w:r w:rsidRPr="00BA58BA">
        <w:rPr>
          <w:b/>
          <w:bCs/>
        </w:rPr>
        <w:t>Exemple n°</w:t>
      </w:r>
      <w:r>
        <w:rPr>
          <w:b/>
          <w:bCs/>
        </w:rPr>
        <w:t>3</w:t>
      </w:r>
      <w:r w:rsidRPr="00BA58BA">
        <w:rPr>
          <w:b/>
          <w:bCs/>
        </w:rPr>
        <w:t> :</w:t>
      </w:r>
    </w:p>
    <w:p w14:paraId="68CB46CA" w14:textId="77777777" w:rsidR="00E72A09" w:rsidRPr="001B2DEF" w:rsidRDefault="00E72A09" w:rsidP="00E72A0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Pr>
          <w:u w:val="single"/>
        </w:rPr>
        <w:t>Porteur de projet :</w:t>
      </w:r>
      <w:r>
        <w:t xml:space="preserve"> Lousada (localité portugaise très active sur le programme Erasmus+)</w:t>
      </w:r>
    </w:p>
    <w:p w14:paraId="5967B468" w14:textId="77777777" w:rsidR="00E72A09" w:rsidRDefault="00E72A09" w:rsidP="00E72A0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64769C">
        <w:rPr>
          <w:u w:val="single"/>
        </w:rPr>
        <w:t>Titre :</w:t>
      </w:r>
      <w:r w:rsidRPr="0064769C">
        <w:t xml:space="preserve"> </w:t>
      </w:r>
      <w:r>
        <w:t>« </w:t>
      </w:r>
      <w:r w:rsidRPr="0064769C">
        <w:t>Former pour agir - Le Green Deal européen dans la gouvernance locale</w:t>
      </w:r>
      <w:r>
        <w:t> »</w:t>
      </w:r>
    </w:p>
    <w:p w14:paraId="7A80F1BD" w14:textId="77777777" w:rsidR="00E72A09" w:rsidRDefault="006674D5" w:rsidP="00E72A0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hyperlink r:id="rId23" w:history="1">
        <w:r w:rsidR="00E72A09" w:rsidRPr="001B2DEF">
          <w:rPr>
            <w:rStyle w:val="Lienhypertexte"/>
          </w:rPr>
          <w:t>Site web</w:t>
        </w:r>
      </w:hyperlink>
      <w:r w:rsidR="00E72A09">
        <w:rPr>
          <w:u w:val="single"/>
        </w:rPr>
        <w:t xml:space="preserve"> et </w:t>
      </w:r>
      <w:hyperlink r:id="rId24" w:history="1">
        <w:r w:rsidR="00E72A09" w:rsidRPr="001B2DEF">
          <w:rPr>
            <w:rStyle w:val="Lienhypertexte"/>
          </w:rPr>
          <w:t>contact</w:t>
        </w:r>
      </w:hyperlink>
    </w:p>
    <w:p w14:paraId="3FC6D872" w14:textId="77777777" w:rsidR="00E72A09" w:rsidRDefault="00E72A09" w:rsidP="00E72A0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8B6AFD">
        <w:rPr>
          <w:u w:val="single"/>
        </w:rPr>
        <w:t>Dates :</w:t>
      </w:r>
      <w:r>
        <w:t xml:space="preserve"> du </w:t>
      </w:r>
      <w:r w:rsidRPr="0064769C">
        <w:t>01-06-2020</w:t>
      </w:r>
      <w:r>
        <w:t xml:space="preserve"> au</w:t>
      </w:r>
      <w:r w:rsidRPr="0064769C">
        <w:t xml:space="preserve"> 31-05-2023</w:t>
      </w:r>
    </w:p>
    <w:p w14:paraId="4A6A5FC3" w14:textId="77777777" w:rsidR="00E72A09" w:rsidRDefault="00E72A09" w:rsidP="00E72A0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8B6AFD">
        <w:rPr>
          <w:u w:val="single"/>
        </w:rPr>
        <w:t>Référence du projet :</w:t>
      </w:r>
      <w:r>
        <w:t xml:space="preserve"> </w:t>
      </w:r>
      <w:r w:rsidRPr="0064769C">
        <w:t>2020-1-PT01-KA104-077859</w:t>
      </w:r>
    </w:p>
    <w:p w14:paraId="6DE88737" w14:textId="77777777" w:rsidR="00E72A09" w:rsidRDefault="00E72A09" w:rsidP="00E72A0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both"/>
      </w:pPr>
      <w:r w:rsidRPr="008B6AFD">
        <w:rPr>
          <w:u w:val="single"/>
        </w:rPr>
        <w:t>Subvention UE :</w:t>
      </w:r>
      <w:r>
        <w:t xml:space="preserve"> 38 490 EUR</w:t>
      </w:r>
    </w:p>
    <w:p w14:paraId="0C983ED9" w14:textId="77777777" w:rsidR="00E72A09" w:rsidRDefault="00E72A09" w:rsidP="00E72A0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both"/>
      </w:pPr>
      <w:r>
        <w:t xml:space="preserve">Ce projet, porté par une collectivité locale, prévoit l'organisation de 17 mobilités pour une formation structurée sur le Green Deal européen dans plusieurs pays d'Europe, avec l'intention de former environ 10% du personnel du Département Environnement.  </w:t>
      </w:r>
    </w:p>
    <w:p w14:paraId="394C680E" w14:textId="788558E0" w:rsidR="00743F4A" w:rsidRDefault="00743F4A" w:rsidP="00743F4A"/>
    <w:p w14:paraId="2EAF7E31" w14:textId="1D88D82C" w:rsidR="00611ED3" w:rsidRDefault="00611ED3" w:rsidP="00743F4A"/>
    <w:p w14:paraId="25D9D692" w14:textId="31095690" w:rsidR="00611ED3" w:rsidRDefault="00611ED3" w:rsidP="00743F4A"/>
    <w:p w14:paraId="4E4A9CA4" w14:textId="1F68209D" w:rsidR="00611ED3" w:rsidRDefault="00611ED3" w:rsidP="00743F4A"/>
    <w:p w14:paraId="78B7E320" w14:textId="41913664" w:rsidR="00611ED3" w:rsidRDefault="00611ED3" w:rsidP="00743F4A"/>
    <w:p w14:paraId="7AE0663A" w14:textId="0DBEBF5A" w:rsidR="00611ED3" w:rsidRDefault="00611ED3" w:rsidP="00743F4A"/>
    <w:p w14:paraId="69BF91F8" w14:textId="77777777" w:rsidR="00611ED3" w:rsidRDefault="00611ED3" w:rsidP="00743F4A"/>
    <w:p w14:paraId="513B744F" w14:textId="37E2DE1E" w:rsidR="008D37AB" w:rsidRDefault="008D37AB" w:rsidP="008D37AB">
      <w:pPr>
        <w:pStyle w:val="Titre1"/>
      </w:pPr>
      <w:r>
        <w:lastRenderedPageBreak/>
        <w:t>Informations pratiques</w:t>
      </w:r>
    </w:p>
    <w:p w14:paraId="70E9DEE0" w14:textId="77777777" w:rsidR="00C31B43" w:rsidRDefault="00C31B43" w:rsidP="00C31B43">
      <w:pPr>
        <w:tabs>
          <w:tab w:val="left" w:pos="1307"/>
        </w:tabs>
        <w:jc w:val="both"/>
      </w:pPr>
    </w:p>
    <w:p w14:paraId="088F2880" w14:textId="77777777" w:rsidR="00D63C89" w:rsidRDefault="00D63C89" w:rsidP="00F05935">
      <w:pPr>
        <w:tabs>
          <w:tab w:val="left" w:pos="1307"/>
        </w:tabs>
        <w:spacing w:after="80"/>
        <w:jc w:val="center"/>
        <w:rPr>
          <w:i/>
          <w:iCs/>
        </w:rPr>
      </w:pPr>
      <w:bookmarkStart w:id="5" w:name="_Hlk70607392"/>
      <w:r w:rsidRPr="00BF64A8">
        <w:rPr>
          <w:i/>
          <w:iCs/>
        </w:rPr>
        <w:t>Les différentes agences</w:t>
      </w:r>
      <w:r>
        <w:rPr>
          <w:i/>
          <w:iCs/>
        </w:rPr>
        <w:t xml:space="preserve"> d’information et de gestion du programme Erasmus+ :</w:t>
      </w:r>
    </w:p>
    <w:p w14:paraId="77116DF2" w14:textId="77777777" w:rsidR="00D63C89" w:rsidRPr="00BF64A8" w:rsidRDefault="00D63C89" w:rsidP="00D63C89">
      <w:pPr>
        <w:tabs>
          <w:tab w:val="left" w:pos="1307"/>
        </w:tabs>
        <w:spacing w:after="80"/>
        <w:jc w:val="center"/>
        <w:rPr>
          <w:i/>
          <w:iCs/>
        </w:rPr>
      </w:pPr>
      <w:r>
        <w:rPr>
          <w:i/>
          <w:iCs/>
        </w:rPr>
        <w:t xml:space="preserve">Selon votre domaine d’actions, une agence différente est à contacter pour toute question sur votre projet et sur le processus d’appel à projets. </w:t>
      </w:r>
    </w:p>
    <w:tbl>
      <w:tblPr>
        <w:tblStyle w:val="TableauGrille5Fonc-Accentuation4"/>
        <w:tblW w:w="0" w:type="auto"/>
        <w:tblLayout w:type="fixed"/>
        <w:tblLook w:val="0420" w:firstRow="1" w:lastRow="0" w:firstColumn="0" w:lastColumn="0" w:noHBand="0" w:noVBand="1"/>
      </w:tblPr>
      <w:tblGrid>
        <w:gridCol w:w="2830"/>
        <w:gridCol w:w="3261"/>
        <w:gridCol w:w="1457"/>
        <w:gridCol w:w="2223"/>
      </w:tblGrid>
      <w:tr w:rsidR="00C31B43" w:rsidRPr="00C31B43" w14:paraId="6C3A7F09" w14:textId="77777777" w:rsidTr="00B64F32">
        <w:trPr>
          <w:cnfStyle w:val="100000000000" w:firstRow="1" w:lastRow="0" w:firstColumn="0" w:lastColumn="0" w:oddVBand="0" w:evenVBand="0" w:oddHBand="0" w:evenHBand="0" w:firstRowFirstColumn="0" w:firstRowLastColumn="0" w:lastRowFirstColumn="0" w:lastRowLastColumn="0"/>
        </w:trPr>
        <w:tc>
          <w:tcPr>
            <w:tcW w:w="2830" w:type="dxa"/>
          </w:tcPr>
          <w:bookmarkEnd w:id="5"/>
          <w:p w14:paraId="56416423" w14:textId="77777777" w:rsidR="00C31B43" w:rsidRDefault="00C31B43" w:rsidP="00BC7130">
            <w:pPr>
              <w:tabs>
                <w:tab w:val="left" w:pos="1307"/>
              </w:tabs>
              <w:jc w:val="center"/>
            </w:pPr>
            <w:r>
              <w:t>Agence</w:t>
            </w:r>
          </w:p>
        </w:tc>
        <w:tc>
          <w:tcPr>
            <w:tcW w:w="3261" w:type="dxa"/>
          </w:tcPr>
          <w:p w14:paraId="25AB6E47" w14:textId="77777777" w:rsidR="00C31B43" w:rsidRDefault="00C31B43" w:rsidP="00BC7130">
            <w:pPr>
              <w:tabs>
                <w:tab w:val="left" w:pos="1307"/>
              </w:tabs>
              <w:jc w:val="center"/>
            </w:pPr>
            <w:r>
              <w:t>Domaine d’action</w:t>
            </w:r>
          </w:p>
        </w:tc>
        <w:tc>
          <w:tcPr>
            <w:tcW w:w="1457" w:type="dxa"/>
          </w:tcPr>
          <w:p w14:paraId="3CB27249" w14:textId="77777777" w:rsidR="00C31B43" w:rsidRPr="00C31B43" w:rsidRDefault="00C31B43" w:rsidP="00BC7130">
            <w:pPr>
              <w:tabs>
                <w:tab w:val="left" w:pos="1307"/>
              </w:tabs>
              <w:jc w:val="center"/>
            </w:pPr>
            <w:r>
              <w:t>Contact</w:t>
            </w:r>
          </w:p>
        </w:tc>
        <w:tc>
          <w:tcPr>
            <w:tcW w:w="2223" w:type="dxa"/>
          </w:tcPr>
          <w:p w14:paraId="24D721DA" w14:textId="77777777" w:rsidR="00C31B43" w:rsidRDefault="00C31B43" w:rsidP="00BC7130">
            <w:pPr>
              <w:tabs>
                <w:tab w:val="left" w:pos="1307"/>
              </w:tabs>
              <w:jc w:val="center"/>
            </w:pPr>
            <w:r>
              <w:t>Site web</w:t>
            </w:r>
          </w:p>
        </w:tc>
      </w:tr>
      <w:tr w:rsidR="00C31B43" w:rsidRPr="00C31B43" w14:paraId="68C6DF39" w14:textId="77777777" w:rsidTr="00611ED3">
        <w:trPr>
          <w:cnfStyle w:val="000000100000" w:firstRow="0" w:lastRow="0" w:firstColumn="0" w:lastColumn="0" w:oddVBand="0" w:evenVBand="0" w:oddHBand="1" w:evenHBand="0" w:firstRowFirstColumn="0" w:firstRowLastColumn="0" w:lastRowFirstColumn="0" w:lastRowLastColumn="0"/>
          <w:trHeight w:val="1045"/>
        </w:trPr>
        <w:tc>
          <w:tcPr>
            <w:tcW w:w="2830" w:type="dxa"/>
            <w:vAlign w:val="center"/>
          </w:tcPr>
          <w:p w14:paraId="1B286A1E" w14:textId="77777777" w:rsidR="00C31B43" w:rsidRPr="00611ED3" w:rsidRDefault="00C31B43" w:rsidP="00B64F32">
            <w:pPr>
              <w:tabs>
                <w:tab w:val="left" w:pos="1307"/>
              </w:tabs>
              <w:rPr>
                <w:sz w:val="20"/>
                <w:szCs w:val="20"/>
              </w:rPr>
            </w:pPr>
            <w:r w:rsidRPr="00611ED3">
              <w:rPr>
                <w:sz w:val="20"/>
                <w:szCs w:val="20"/>
              </w:rPr>
              <w:t>L’Agence Erasmus+ France / Education et formation</w:t>
            </w:r>
          </w:p>
        </w:tc>
        <w:tc>
          <w:tcPr>
            <w:tcW w:w="3261" w:type="dxa"/>
            <w:vAlign w:val="center"/>
          </w:tcPr>
          <w:p w14:paraId="787BBF76" w14:textId="77777777" w:rsidR="00C31B43" w:rsidRPr="00611ED3" w:rsidRDefault="006C61A8" w:rsidP="00B64F32">
            <w:pPr>
              <w:tabs>
                <w:tab w:val="left" w:pos="1307"/>
              </w:tabs>
              <w:rPr>
                <w:sz w:val="20"/>
                <w:szCs w:val="20"/>
              </w:rPr>
            </w:pPr>
            <w:r w:rsidRPr="00611ED3">
              <w:rPr>
                <w:sz w:val="20"/>
                <w:szCs w:val="20"/>
              </w:rPr>
              <w:t>Enseignement scolaire, enseignement et formation professionnels, enseignement supérieur, éducation des adultes</w:t>
            </w:r>
          </w:p>
        </w:tc>
        <w:tc>
          <w:tcPr>
            <w:tcW w:w="1457" w:type="dxa"/>
            <w:vAlign w:val="center"/>
          </w:tcPr>
          <w:p w14:paraId="3E6D0568" w14:textId="77777777" w:rsidR="00C31B43" w:rsidRPr="00611ED3" w:rsidRDefault="006674D5" w:rsidP="00B64F32">
            <w:pPr>
              <w:tabs>
                <w:tab w:val="left" w:pos="1307"/>
              </w:tabs>
              <w:rPr>
                <w:sz w:val="20"/>
                <w:szCs w:val="20"/>
              </w:rPr>
            </w:pPr>
            <w:hyperlink r:id="rId25" w:history="1">
              <w:r w:rsidR="00B64F32" w:rsidRPr="00611ED3">
                <w:rPr>
                  <w:rStyle w:val="Lienhypertexte"/>
                  <w:sz w:val="20"/>
                  <w:szCs w:val="20"/>
                </w:rPr>
                <w:t>Mail de contact</w:t>
              </w:r>
            </w:hyperlink>
          </w:p>
        </w:tc>
        <w:tc>
          <w:tcPr>
            <w:tcW w:w="2223" w:type="dxa"/>
            <w:vAlign w:val="center"/>
          </w:tcPr>
          <w:p w14:paraId="77754437" w14:textId="77777777" w:rsidR="00C31B43" w:rsidRPr="00611ED3" w:rsidRDefault="006674D5" w:rsidP="00B64F32">
            <w:pPr>
              <w:tabs>
                <w:tab w:val="left" w:pos="1307"/>
              </w:tabs>
              <w:rPr>
                <w:sz w:val="20"/>
                <w:szCs w:val="20"/>
              </w:rPr>
            </w:pPr>
            <w:hyperlink r:id="rId26" w:history="1">
              <w:r w:rsidR="00B64F32" w:rsidRPr="00611ED3">
                <w:rPr>
                  <w:rStyle w:val="Lienhypertexte"/>
                  <w:sz w:val="20"/>
                  <w:szCs w:val="20"/>
                </w:rPr>
                <w:t>https://agence.erasmusplus.fr/</w:t>
              </w:r>
            </w:hyperlink>
            <w:r w:rsidR="00B64F32" w:rsidRPr="00611ED3">
              <w:rPr>
                <w:sz w:val="20"/>
                <w:szCs w:val="20"/>
              </w:rPr>
              <w:t xml:space="preserve"> </w:t>
            </w:r>
          </w:p>
        </w:tc>
      </w:tr>
      <w:tr w:rsidR="00B64F32" w:rsidRPr="00C31B43" w14:paraId="02883DEE" w14:textId="77777777" w:rsidTr="00611ED3">
        <w:trPr>
          <w:trHeight w:val="611"/>
        </w:trPr>
        <w:tc>
          <w:tcPr>
            <w:tcW w:w="2830" w:type="dxa"/>
            <w:vAlign w:val="center"/>
          </w:tcPr>
          <w:p w14:paraId="306E879E" w14:textId="77777777" w:rsidR="00C31B43" w:rsidRPr="00611ED3" w:rsidRDefault="00C31B43" w:rsidP="00B64F32">
            <w:pPr>
              <w:tabs>
                <w:tab w:val="left" w:pos="1307"/>
              </w:tabs>
              <w:rPr>
                <w:sz w:val="20"/>
                <w:szCs w:val="20"/>
              </w:rPr>
            </w:pPr>
            <w:r w:rsidRPr="00611ED3">
              <w:rPr>
                <w:sz w:val="20"/>
                <w:szCs w:val="20"/>
              </w:rPr>
              <w:t>L’Agence Erasmus+ / Jeunesse et Sport</w:t>
            </w:r>
          </w:p>
        </w:tc>
        <w:tc>
          <w:tcPr>
            <w:tcW w:w="3261" w:type="dxa"/>
            <w:vAlign w:val="center"/>
          </w:tcPr>
          <w:p w14:paraId="1B55802F" w14:textId="77777777" w:rsidR="00C31B43" w:rsidRPr="00611ED3" w:rsidRDefault="006C61A8" w:rsidP="00B64F32">
            <w:pPr>
              <w:tabs>
                <w:tab w:val="left" w:pos="1307"/>
              </w:tabs>
              <w:rPr>
                <w:sz w:val="20"/>
                <w:szCs w:val="20"/>
              </w:rPr>
            </w:pPr>
            <w:r w:rsidRPr="00611ED3">
              <w:rPr>
                <w:sz w:val="20"/>
                <w:szCs w:val="20"/>
              </w:rPr>
              <w:t>Jeunesse</w:t>
            </w:r>
            <w:r w:rsidR="00BF64A8" w:rsidRPr="00611ED3">
              <w:rPr>
                <w:sz w:val="20"/>
                <w:szCs w:val="20"/>
              </w:rPr>
              <w:t>, rôle de PCN pour le sport</w:t>
            </w:r>
          </w:p>
        </w:tc>
        <w:tc>
          <w:tcPr>
            <w:tcW w:w="1457" w:type="dxa"/>
            <w:vAlign w:val="center"/>
          </w:tcPr>
          <w:p w14:paraId="3A233F00" w14:textId="77777777" w:rsidR="00C31B43" w:rsidRPr="00611ED3" w:rsidRDefault="006674D5" w:rsidP="00B64F32">
            <w:pPr>
              <w:tabs>
                <w:tab w:val="left" w:pos="1307"/>
              </w:tabs>
              <w:rPr>
                <w:sz w:val="20"/>
                <w:szCs w:val="20"/>
              </w:rPr>
            </w:pPr>
            <w:hyperlink r:id="rId27" w:history="1">
              <w:r w:rsidR="006C61A8" w:rsidRPr="00611ED3">
                <w:rPr>
                  <w:rStyle w:val="Lienhypertexte"/>
                  <w:sz w:val="20"/>
                  <w:szCs w:val="20"/>
                </w:rPr>
                <w:t>Formulaire de contact</w:t>
              </w:r>
            </w:hyperlink>
          </w:p>
        </w:tc>
        <w:tc>
          <w:tcPr>
            <w:tcW w:w="2223" w:type="dxa"/>
            <w:vAlign w:val="center"/>
          </w:tcPr>
          <w:p w14:paraId="7534B81E" w14:textId="77777777" w:rsidR="00C31B43" w:rsidRPr="00611ED3" w:rsidRDefault="006674D5" w:rsidP="00B64F32">
            <w:pPr>
              <w:tabs>
                <w:tab w:val="left" w:pos="1307"/>
              </w:tabs>
              <w:rPr>
                <w:sz w:val="20"/>
                <w:szCs w:val="20"/>
              </w:rPr>
            </w:pPr>
            <w:hyperlink r:id="rId28" w:history="1">
              <w:r w:rsidR="006C61A8" w:rsidRPr="00611ED3">
                <w:rPr>
                  <w:rStyle w:val="Lienhypertexte"/>
                  <w:sz w:val="20"/>
                  <w:szCs w:val="20"/>
                </w:rPr>
                <w:t>https://erasmusplus-jeunesse.fr/</w:t>
              </w:r>
            </w:hyperlink>
            <w:r w:rsidR="006C61A8" w:rsidRPr="00611ED3">
              <w:rPr>
                <w:sz w:val="20"/>
                <w:szCs w:val="20"/>
              </w:rPr>
              <w:t xml:space="preserve"> </w:t>
            </w:r>
          </w:p>
        </w:tc>
      </w:tr>
      <w:tr w:rsidR="00B64F32" w:rsidRPr="00C31B43" w14:paraId="6211B350" w14:textId="77777777" w:rsidTr="00611ED3">
        <w:trPr>
          <w:cnfStyle w:val="000000100000" w:firstRow="0" w:lastRow="0" w:firstColumn="0" w:lastColumn="0" w:oddVBand="0" w:evenVBand="0" w:oddHBand="1" w:evenHBand="0" w:firstRowFirstColumn="0" w:firstRowLastColumn="0" w:lastRowFirstColumn="0" w:lastRowLastColumn="0"/>
          <w:trHeight w:val="786"/>
        </w:trPr>
        <w:tc>
          <w:tcPr>
            <w:tcW w:w="2830" w:type="dxa"/>
            <w:vAlign w:val="center"/>
          </w:tcPr>
          <w:p w14:paraId="3FBC7DA5" w14:textId="77777777" w:rsidR="00C31B43" w:rsidRPr="00611ED3" w:rsidRDefault="00C31B43" w:rsidP="00B64F32">
            <w:pPr>
              <w:tabs>
                <w:tab w:val="left" w:pos="1307"/>
              </w:tabs>
              <w:rPr>
                <w:sz w:val="20"/>
                <w:szCs w:val="20"/>
              </w:rPr>
            </w:pPr>
            <w:r w:rsidRPr="00611ED3">
              <w:rPr>
                <w:sz w:val="20"/>
                <w:szCs w:val="20"/>
              </w:rPr>
              <w:t>L’Agence exécutive européenne pour l’éducation et la culture (EACEA)</w:t>
            </w:r>
          </w:p>
        </w:tc>
        <w:tc>
          <w:tcPr>
            <w:tcW w:w="3261" w:type="dxa"/>
            <w:vAlign w:val="center"/>
          </w:tcPr>
          <w:p w14:paraId="3D2D06E6" w14:textId="77777777" w:rsidR="00C31B43" w:rsidRPr="00611ED3" w:rsidRDefault="003E66BC" w:rsidP="00B64F32">
            <w:pPr>
              <w:tabs>
                <w:tab w:val="left" w:pos="1307"/>
              </w:tabs>
              <w:rPr>
                <w:sz w:val="20"/>
                <w:szCs w:val="20"/>
              </w:rPr>
            </w:pPr>
            <w:r w:rsidRPr="00611ED3">
              <w:rPr>
                <w:sz w:val="20"/>
                <w:szCs w:val="20"/>
              </w:rPr>
              <w:t xml:space="preserve">Actions centralisées : pour une liste complète cliquez </w:t>
            </w:r>
            <w:hyperlink r:id="rId29" w:history="1">
              <w:r w:rsidRPr="00611ED3">
                <w:rPr>
                  <w:rStyle w:val="Lienhypertexte"/>
                  <w:sz w:val="20"/>
                  <w:szCs w:val="20"/>
                </w:rPr>
                <w:t>ici</w:t>
              </w:r>
            </w:hyperlink>
          </w:p>
        </w:tc>
        <w:tc>
          <w:tcPr>
            <w:tcW w:w="1457" w:type="dxa"/>
            <w:vAlign w:val="center"/>
          </w:tcPr>
          <w:p w14:paraId="036E7BE0" w14:textId="77777777" w:rsidR="00C31B43" w:rsidRPr="00611ED3" w:rsidRDefault="006674D5" w:rsidP="00B64F32">
            <w:pPr>
              <w:tabs>
                <w:tab w:val="left" w:pos="1307"/>
              </w:tabs>
              <w:rPr>
                <w:sz w:val="20"/>
                <w:szCs w:val="20"/>
              </w:rPr>
            </w:pPr>
            <w:hyperlink r:id="rId30" w:history="1">
              <w:r w:rsidR="00B64F32" w:rsidRPr="00611ED3">
                <w:rPr>
                  <w:rStyle w:val="Lienhypertexte"/>
                  <w:sz w:val="20"/>
                  <w:szCs w:val="20"/>
                </w:rPr>
                <w:t>Formulaire de contact</w:t>
              </w:r>
            </w:hyperlink>
          </w:p>
        </w:tc>
        <w:tc>
          <w:tcPr>
            <w:tcW w:w="2223" w:type="dxa"/>
            <w:vAlign w:val="center"/>
          </w:tcPr>
          <w:p w14:paraId="4092FD71" w14:textId="77777777" w:rsidR="00C31B43" w:rsidRPr="00611ED3" w:rsidRDefault="006674D5" w:rsidP="00B64F32">
            <w:pPr>
              <w:tabs>
                <w:tab w:val="left" w:pos="1307"/>
              </w:tabs>
              <w:rPr>
                <w:sz w:val="20"/>
                <w:szCs w:val="20"/>
              </w:rPr>
            </w:pPr>
            <w:hyperlink r:id="rId31" w:history="1">
              <w:r w:rsidR="00B64F32" w:rsidRPr="00611ED3">
                <w:rPr>
                  <w:rStyle w:val="Lienhypertexte"/>
                  <w:sz w:val="20"/>
                  <w:szCs w:val="20"/>
                </w:rPr>
                <w:t>https://www.eacea.ec.europa.eu/about-eacea_fr</w:t>
              </w:r>
            </w:hyperlink>
            <w:r w:rsidR="00B64F32" w:rsidRPr="00611ED3">
              <w:rPr>
                <w:sz w:val="20"/>
                <w:szCs w:val="20"/>
              </w:rPr>
              <w:t xml:space="preserve"> </w:t>
            </w:r>
          </w:p>
        </w:tc>
      </w:tr>
    </w:tbl>
    <w:p w14:paraId="5C18E70B" w14:textId="77777777" w:rsidR="00C31B43" w:rsidRDefault="00C31B43" w:rsidP="00C31B43">
      <w:pPr>
        <w:tabs>
          <w:tab w:val="left" w:pos="1307"/>
        </w:tabs>
        <w:jc w:val="both"/>
      </w:pPr>
    </w:p>
    <w:p w14:paraId="426468D0" w14:textId="77777777" w:rsidR="009421A5" w:rsidRDefault="009421A5" w:rsidP="00E8180F">
      <w:pPr>
        <w:pStyle w:val="Paragraphedeliste"/>
        <w:numPr>
          <w:ilvl w:val="0"/>
          <w:numId w:val="34"/>
        </w:numPr>
        <w:tabs>
          <w:tab w:val="left" w:pos="1307"/>
        </w:tabs>
        <w:spacing w:after="120"/>
        <w:ind w:left="714" w:hanging="357"/>
        <w:contextualSpacing w:val="0"/>
      </w:pPr>
      <w:r>
        <w:t>Pour pl</w:t>
      </w:r>
      <w:r w:rsidR="00EC1DEA">
        <w:t>us d’informations sur la recherche de partenaires</w:t>
      </w:r>
      <w:r>
        <w:t xml:space="preserve">, visitez </w:t>
      </w:r>
      <w:hyperlink r:id="rId32" w:history="1">
        <w:r w:rsidRPr="00E8180F">
          <w:rPr>
            <w:rStyle w:val="Lienhypertexte"/>
          </w:rPr>
          <w:t>cette page</w:t>
        </w:r>
      </w:hyperlink>
      <w:r w:rsidRPr="00E8180F">
        <w:t xml:space="preserve"> du site de l’Agence</w:t>
      </w:r>
      <w:r w:rsidR="00B2005C">
        <w:t>.</w:t>
      </w:r>
    </w:p>
    <w:p w14:paraId="2115C8E8" w14:textId="77777777" w:rsidR="008B4D9C" w:rsidRDefault="008B4D9C" w:rsidP="00E8180F">
      <w:pPr>
        <w:pStyle w:val="Paragraphedeliste"/>
        <w:numPr>
          <w:ilvl w:val="0"/>
          <w:numId w:val="34"/>
        </w:numPr>
        <w:tabs>
          <w:tab w:val="left" w:pos="1307"/>
        </w:tabs>
      </w:pPr>
      <w:r>
        <w:t>Principales échéances :</w:t>
      </w:r>
    </w:p>
    <w:p w14:paraId="5BC941D9" w14:textId="77777777" w:rsidR="008B4D9C" w:rsidRDefault="008B4D9C" w:rsidP="008B4D9C">
      <w:pPr>
        <w:pStyle w:val="Paragraphedeliste"/>
        <w:numPr>
          <w:ilvl w:val="0"/>
          <w:numId w:val="30"/>
        </w:numPr>
        <w:tabs>
          <w:tab w:val="left" w:pos="1307"/>
        </w:tabs>
        <w:jc w:val="both"/>
      </w:pPr>
      <w:r>
        <w:t>le 11 mai à 12h00 pour les projets débutant entre le 1er août et le 31 décembre de la même année</w:t>
      </w:r>
    </w:p>
    <w:p w14:paraId="52F00C4E" w14:textId="77777777" w:rsidR="008B4D9C" w:rsidRDefault="008B4D9C" w:rsidP="003C67F7">
      <w:pPr>
        <w:pStyle w:val="Paragraphedeliste"/>
        <w:numPr>
          <w:ilvl w:val="0"/>
          <w:numId w:val="30"/>
        </w:numPr>
        <w:tabs>
          <w:tab w:val="left" w:pos="1307"/>
        </w:tabs>
        <w:spacing w:after="120"/>
        <w:ind w:left="1066" w:hanging="357"/>
        <w:contextualSpacing w:val="0"/>
        <w:jc w:val="both"/>
      </w:pPr>
      <w:r>
        <w:t>le 5 octobre à 12h00</w:t>
      </w:r>
      <w:r w:rsidR="00B2005C">
        <w:t xml:space="preserve"> </w:t>
      </w:r>
      <w:r>
        <w:t>pour les projets débutant entre le 1er janvier et le 31 mai de l’année suivante</w:t>
      </w:r>
    </w:p>
    <w:p w14:paraId="0DC266C4" w14:textId="4387FC6C" w:rsidR="003C67F7" w:rsidRDefault="003C67F7" w:rsidP="003C67F7">
      <w:pPr>
        <w:pStyle w:val="Paragraphedeliste"/>
        <w:numPr>
          <w:ilvl w:val="0"/>
          <w:numId w:val="48"/>
        </w:numPr>
      </w:pPr>
      <w:bookmarkStart w:id="6" w:name="_Hlk70605521"/>
      <w:r>
        <w:t>Retrouvez également l’ensemble des dates limites de dépôt des candidatures</w:t>
      </w:r>
      <w:r w:rsidR="00095AD4">
        <w:t xml:space="preserve"> connues à ce jour</w:t>
      </w:r>
      <w:r>
        <w:t xml:space="preserve"> dans le tableau ci-dessous</w:t>
      </w:r>
      <w:r w:rsidR="00625478">
        <w:rPr>
          <w:rStyle w:val="Appelnotedebasdep"/>
        </w:rPr>
        <w:footnoteReference w:id="1"/>
      </w:r>
      <w:r>
        <w:t> :</w:t>
      </w:r>
    </w:p>
    <w:bookmarkEnd w:id="6"/>
    <w:p w14:paraId="75ED2D1D" w14:textId="77777777" w:rsidR="003C67F7" w:rsidRDefault="003C67F7" w:rsidP="003C67F7">
      <w:pPr>
        <w:pStyle w:val="Paragraphedeliste"/>
        <w:ind w:left="1068"/>
      </w:pPr>
    </w:p>
    <w:tbl>
      <w:tblPr>
        <w:tblStyle w:val="TableauListe4-Accentuation41"/>
        <w:tblW w:w="9067" w:type="dxa"/>
        <w:jc w:val="center"/>
        <w:tblLook w:val="0400" w:firstRow="0" w:lastRow="0" w:firstColumn="0" w:lastColumn="0" w:noHBand="0" w:noVBand="1"/>
      </w:tblPr>
      <w:tblGrid>
        <w:gridCol w:w="3397"/>
        <w:gridCol w:w="2268"/>
        <w:gridCol w:w="1701"/>
        <w:gridCol w:w="1701"/>
      </w:tblGrid>
      <w:tr w:rsidR="003C67F7" w:rsidRPr="00C024ED" w14:paraId="04766090" w14:textId="77777777" w:rsidTr="001E4FB2">
        <w:trPr>
          <w:cnfStyle w:val="000000100000" w:firstRow="0" w:lastRow="0" w:firstColumn="0" w:lastColumn="0" w:oddVBand="0" w:evenVBand="0" w:oddHBand="1" w:evenHBand="0" w:firstRowFirstColumn="0" w:firstRowLastColumn="0" w:lastRowFirstColumn="0" w:lastRowLastColumn="0"/>
          <w:jc w:val="center"/>
        </w:trPr>
        <w:tc>
          <w:tcPr>
            <w:tcW w:w="3397" w:type="dxa"/>
            <w:tcBorders>
              <w:top w:val="single" w:sz="4" w:space="0" w:color="auto"/>
              <w:left w:val="single" w:sz="4" w:space="0" w:color="auto"/>
              <w:bottom w:val="single" w:sz="4" w:space="0" w:color="auto"/>
              <w:right w:val="single" w:sz="4" w:space="0" w:color="auto"/>
            </w:tcBorders>
            <w:vAlign w:val="center"/>
          </w:tcPr>
          <w:p w14:paraId="26E8AF6B" w14:textId="77777777" w:rsidR="003C67F7" w:rsidRPr="00C024ED" w:rsidRDefault="003C67F7" w:rsidP="001E4FB2">
            <w:pPr>
              <w:widowControl w:val="0"/>
              <w:autoSpaceDE w:val="0"/>
              <w:autoSpaceDN w:val="0"/>
              <w:adjustRightInd w:val="0"/>
              <w:jc w:val="center"/>
              <w:rPr>
                <w:rFonts w:asciiTheme="majorHAnsi" w:hAnsiTheme="majorHAnsi" w:cs="TimesNewRoman"/>
                <w:b/>
                <w:bCs/>
                <w:sz w:val="20"/>
              </w:rPr>
            </w:pPr>
            <w:r w:rsidRPr="00C024ED">
              <w:rPr>
                <w:rFonts w:asciiTheme="majorHAnsi" w:hAnsiTheme="majorHAnsi" w:cs="TimesNewRoman"/>
                <w:b/>
                <w:bCs/>
                <w:sz w:val="20"/>
              </w:rPr>
              <w:t>Activités</w:t>
            </w:r>
          </w:p>
        </w:tc>
        <w:tc>
          <w:tcPr>
            <w:tcW w:w="2268" w:type="dxa"/>
            <w:tcBorders>
              <w:top w:val="single" w:sz="4" w:space="0" w:color="auto"/>
              <w:left w:val="single" w:sz="4" w:space="0" w:color="auto"/>
              <w:bottom w:val="single" w:sz="4" w:space="0" w:color="auto"/>
              <w:right w:val="single" w:sz="4" w:space="0" w:color="auto"/>
            </w:tcBorders>
            <w:vAlign w:val="center"/>
          </w:tcPr>
          <w:p w14:paraId="479E5557" w14:textId="77777777" w:rsidR="003C67F7" w:rsidRPr="00C024ED" w:rsidRDefault="003C67F7" w:rsidP="001E4FB2">
            <w:pPr>
              <w:widowControl w:val="0"/>
              <w:autoSpaceDE w:val="0"/>
              <w:autoSpaceDN w:val="0"/>
              <w:adjustRightInd w:val="0"/>
              <w:jc w:val="center"/>
              <w:rPr>
                <w:rFonts w:asciiTheme="majorHAnsi" w:hAnsiTheme="majorHAnsi" w:cs="TimesNewRoman"/>
                <w:b/>
                <w:bCs/>
                <w:sz w:val="20"/>
                <w:highlight w:val="yellow"/>
              </w:rPr>
            </w:pPr>
            <w:r w:rsidRPr="00C024ED">
              <w:rPr>
                <w:rFonts w:asciiTheme="majorHAnsi" w:hAnsiTheme="majorHAnsi" w:cs="TimesNewRoman"/>
                <w:b/>
                <w:bCs/>
                <w:sz w:val="20"/>
              </w:rPr>
              <w:t>Agence</w:t>
            </w:r>
          </w:p>
        </w:tc>
        <w:tc>
          <w:tcPr>
            <w:tcW w:w="1701" w:type="dxa"/>
            <w:tcBorders>
              <w:top w:val="single" w:sz="4" w:space="0" w:color="auto"/>
              <w:left w:val="single" w:sz="4" w:space="0" w:color="auto"/>
              <w:bottom w:val="single" w:sz="4" w:space="0" w:color="auto"/>
              <w:right w:val="single" w:sz="4" w:space="0" w:color="auto"/>
            </w:tcBorders>
            <w:vAlign w:val="center"/>
          </w:tcPr>
          <w:p w14:paraId="203CD0A9" w14:textId="77777777" w:rsidR="003C67F7" w:rsidRPr="00C024ED" w:rsidRDefault="003C67F7" w:rsidP="001E4FB2">
            <w:pPr>
              <w:widowControl w:val="0"/>
              <w:autoSpaceDE w:val="0"/>
              <w:autoSpaceDN w:val="0"/>
              <w:adjustRightInd w:val="0"/>
              <w:jc w:val="center"/>
              <w:rPr>
                <w:rFonts w:asciiTheme="majorHAnsi" w:hAnsiTheme="majorHAnsi" w:cs="TimesNewRoman"/>
                <w:b/>
                <w:bCs/>
                <w:sz w:val="20"/>
              </w:rPr>
            </w:pPr>
            <w:r w:rsidRPr="00C024ED">
              <w:rPr>
                <w:rFonts w:asciiTheme="majorHAnsi" w:hAnsiTheme="majorHAnsi" w:cs="TimesNewRoman"/>
                <w:b/>
                <w:bCs/>
                <w:sz w:val="20"/>
              </w:rPr>
              <w:t>Forme de la subvention</w:t>
            </w:r>
          </w:p>
        </w:tc>
        <w:tc>
          <w:tcPr>
            <w:tcW w:w="1701" w:type="dxa"/>
            <w:tcBorders>
              <w:top w:val="single" w:sz="4" w:space="0" w:color="auto"/>
              <w:left w:val="single" w:sz="4" w:space="0" w:color="auto"/>
              <w:bottom w:val="single" w:sz="4" w:space="0" w:color="auto"/>
              <w:right w:val="single" w:sz="4" w:space="0" w:color="auto"/>
            </w:tcBorders>
            <w:vAlign w:val="center"/>
          </w:tcPr>
          <w:p w14:paraId="581DA601" w14:textId="77777777" w:rsidR="003C67F7" w:rsidRPr="00C024ED" w:rsidRDefault="003C67F7" w:rsidP="001E4FB2">
            <w:pPr>
              <w:widowControl w:val="0"/>
              <w:autoSpaceDE w:val="0"/>
              <w:autoSpaceDN w:val="0"/>
              <w:adjustRightInd w:val="0"/>
              <w:jc w:val="center"/>
              <w:rPr>
                <w:rFonts w:asciiTheme="majorHAnsi" w:hAnsiTheme="majorHAnsi" w:cs="TimesNewRoman"/>
                <w:b/>
                <w:bCs/>
                <w:sz w:val="20"/>
                <w:highlight w:val="yellow"/>
              </w:rPr>
            </w:pPr>
            <w:r w:rsidRPr="00C024ED">
              <w:rPr>
                <w:rFonts w:asciiTheme="majorHAnsi" w:hAnsiTheme="majorHAnsi" w:cs="TimesNewRoman"/>
                <w:b/>
                <w:bCs/>
                <w:sz w:val="20"/>
              </w:rPr>
              <w:t>Deadline</w:t>
            </w:r>
          </w:p>
        </w:tc>
      </w:tr>
      <w:tr w:rsidR="003C67F7" w:rsidRPr="00C024ED" w14:paraId="14A3AEEB" w14:textId="77777777" w:rsidTr="001E4FB2">
        <w:trPr>
          <w:jc w:val="center"/>
        </w:trPr>
        <w:tc>
          <w:tcPr>
            <w:tcW w:w="9067" w:type="dxa"/>
            <w:gridSpan w:val="4"/>
            <w:tcBorders>
              <w:top w:val="single" w:sz="4" w:space="0" w:color="auto"/>
              <w:left w:val="single" w:sz="4" w:space="0" w:color="auto"/>
              <w:bottom w:val="single" w:sz="4" w:space="0" w:color="auto"/>
              <w:right w:val="single" w:sz="4" w:space="0" w:color="auto"/>
            </w:tcBorders>
            <w:shd w:val="clear" w:color="auto" w:fill="8064A2" w:themeFill="accent4"/>
          </w:tcPr>
          <w:p w14:paraId="4C6332E1" w14:textId="77777777" w:rsidR="003C67F7" w:rsidRPr="00C024ED" w:rsidRDefault="003C67F7" w:rsidP="001E4FB2">
            <w:pPr>
              <w:widowControl w:val="0"/>
              <w:autoSpaceDE w:val="0"/>
              <w:autoSpaceDN w:val="0"/>
              <w:adjustRightInd w:val="0"/>
              <w:rPr>
                <w:rFonts w:asciiTheme="majorHAnsi" w:hAnsiTheme="majorHAnsi" w:cs="TimesNewRoman"/>
                <w:b/>
                <w:bCs/>
                <w:color w:val="FFFFFF" w:themeColor="background1"/>
                <w:sz w:val="20"/>
              </w:rPr>
            </w:pPr>
            <w:r w:rsidRPr="00C024ED">
              <w:rPr>
                <w:rFonts w:asciiTheme="majorHAnsi" w:hAnsiTheme="majorHAnsi" w:cs="TimesNewRoman"/>
                <w:b/>
                <w:bCs/>
                <w:color w:val="FFFFFF" w:themeColor="background1"/>
                <w:sz w:val="22"/>
                <w:szCs w:val="26"/>
              </w:rPr>
              <w:t xml:space="preserve">Action clé 1 – Mobilité des jeunes </w:t>
            </w:r>
          </w:p>
        </w:tc>
      </w:tr>
      <w:tr w:rsidR="003C67F7" w14:paraId="7DCA01B3" w14:textId="77777777" w:rsidTr="001E4FB2">
        <w:trPr>
          <w:cnfStyle w:val="000000100000" w:firstRow="0" w:lastRow="0" w:firstColumn="0" w:lastColumn="0" w:oddVBand="0" w:evenVBand="0" w:oddHBand="1" w:evenHBand="0" w:firstRowFirstColumn="0" w:firstRowLastColumn="0" w:lastRowFirstColumn="0" w:lastRowLastColumn="0"/>
          <w:jc w:val="center"/>
        </w:trPr>
        <w:tc>
          <w:tcPr>
            <w:tcW w:w="3397" w:type="dxa"/>
            <w:tcBorders>
              <w:top w:val="single" w:sz="4" w:space="0" w:color="auto"/>
              <w:left w:val="single" w:sz="4" w:space="0" w:color="auto"/>
              <w:bottom w:val="single" w:sz="4" w:space="0" w:color="auto"/>
              <w:right w:val="single" w:sz="4" w:space="0" w:color="auto"/>
            </w:tcBorders>
          </w:tcPr>
          <w:p w14:paraId="667A244B" w14:textId="77777777" w:rsidR="003C67F7" w:rsidRPr="005576D1" w:rsidRDefault="003C67F7" w:rsidP="001E4FB2">
            <w:pPr>
              <w:widowControl w:val="0"/>
              <w:autoSpaceDE w:val="0"/>
              <w:autoSpaceDN w:val="0"/>
              <w:adjustRightInd w:val="0"/>
              <w:rPr>
                <w:rFonts w:asciiTheme="majorHAnsi" w:hAnsiTheme="majorHAnsi" w:cs="TimesNewRoman"/>
                <w:bCs/>
                <w:sz w:val="20"/>
              </w:rPr>
            </w:pPr>
            <w:r w:rsidRPr="005576D1">
              <w:rPr>
                <w:rFonts w:asciiTheme="majorHAnsi" w:hAnsiTheme="majorHAnsi" w:cs="TimesNewRoman"/>
                <w:bCs/>
                <w:sz w:val="20"/>
              </w:rPr>
              <w:t>Mobilité des étudiants, enseignants et personnels de l’enseignement supérieur</w:t>
            </w:r>
          </w:p>
        </w:tc>
        <w:tc>
          <w:tcPr>
            <w:tcW w:w="2268" w:type="dxa"/>
            <w:tcBorders>
              <w:top w:val="single" w:sz="4" w:space="0" w:color="auto"/>
              <w:left w:val="single" w:sz="4" w:space="0" w:color="auto"/>
              <w:bottom w:val="single" w:sz="4" w:space="0" w:color="auto"/>
              <w:right w:val="single" w:sz="4" w:space="0" w:color="auto"/>
            </w:tcBorders>
            <w:vAlign w:val="center"/>
          </w:tcPr>
          <w:p w14:paraId="76CF308D" w14:textId="77777777" w:rsidR="003C67F7" w:rsidRDefault="003C67F7" w:rsidP="001E4FB2">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Agences nationales Erasmus +</w:t>
            </w:r>
          </w:p>
        </w:tc>
        <w:tc>
          <w:tcPr>
            <w:tcW w:w="1701" w:type="dxa"/>
            <w:tcBorders>
              <w:top w:val="single" w:sz="4" w:space="0" w:color="auto"/>
              <w:left w:val="single" w:sz="4" w:space="0" w:color="auto"/>
              <w:bottom w:val="single" w:sz="4" w:space="0" w:color="auto"/>
              <w:right w:val="single" w:sz="4" w:space="0" w:color="auto"/>
            </w:tcBorders>
            <w:vAlign w:val="center"/>
          </w:tcPr>
          <w:p w14:paraId="0586933A" w14:textId="77777777" w:rsidR="003C67F7" w:rsidRDefault="003C67F7" w:rsidP="001E4FB2">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Coûts unitaires</w:t>
            </w:r>
          </w:p>
        </w:tc>
        <w:tc>
          <w:tcPr>
            <w:tcW w:w="1701" w:type="dxa"/>
            <w:tcBorders>
              <w:top w:val="single" w:sz="4" w:space="0" w:color="auto"/>
              <w:left w:val="single" w:sz="4" w:space="0" w:color="auto"/>
              <w:bottom w:val="single" w:sz="4" w:space="0" w:color="auto"/>
              <w:right w:val="single" w:sz="4" w:space="0" w:color="auto"/>
            </w:tcBorders>
            <w:vAlign w:val="center"/>
          </w:tcPr>
          <w:p w14:paraId="16CAD13E" w14:textId="77777777" w:rsidR="003C67F7" w:rsidRDefault="003C67F7" w:rsidP="001E4FB2">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11 mai 2021</w:t>
            </w:r>
          </w:p>
        </w:tc>
      </w:tr>
      <w:tr w:rsidR="003C67F7" w14:paraId="083404DD" w14:textId="77777777" w:rsidTr="001E4FB2">
        <w:trPr>
          <w:jc w:val="center"/>
        </w:trPr>
        <w:tc>
          <w:tcPr>
            <w:tcW w:w="3397" w:type="dxa"/>
            <w:tcBorders>
              <w:top w:val="single" w:sz="4" w:space="0" w:color="auto"/>
              <w:left w:val="single" w:sz="4" w:space="0" w:color="auto"/>
              <w:bottom w:val="single" w:sz="4" w:space="0" w:color="auto"/>
              <w:right w:val="single" w:sz="4" w:space="0" w:color="auto"/>
            </w:tcBorders>
          </w:tcPr>
          <w:p w14:paraId="49B0297C" w14:textId="77777777" w:rsidR="003C67F7" w:rsidRDefault="003C67F7" w:rsidP="001E4FB2">
            <w:pPr>
              <w:widowControl w:val="0"/>
              <w:autoSpaceDE w:val="0"/>
              <w:autoSpaceDN w:val="0"/>
              <w:adjustRightInd w:val="0"/>
              <w:rPr>
                <w:rFonts w:asciiTheme="majorHAnsi" w:hAnsiTheme="majorHAnsi" w:cs="TimesNewRoman"/>
                <w:bCs/>
                <w:sz w:val="20"/>
              </w:rPr>
            </w:pPr>
            <w:r w:rsidRPr="005576D1">
              <w:rPr>
                <w:rFonts w:asciiTheme="majorHAnsi" w:hAnsiTheme="majorHAnsi" w:cs="TimesNewRoman"/>
                <w:bCs/>
                <w:sz w:val="20"/>
              </w:rPr>
              <w:t>Mobilité des apprenants et personnels, pour les organismes accrédités de l’enseignement scolaire, de l’Enseignement</w:t>
            </w:r>
            <w:r>
              <w:rPr>
                <w:rFonts w:asciiTheme="majorHAnsi" w:hAnsiTheme="majorHAnsi" w:cs="TimesNewRoman"/>
                <w:bCs/>
                <w:sz w:val="20"/>
              </w:rPr>
              <w:t xml:space="preserve"> </w:t>
            </w:r>
            <w:r w:rsidRPr="005576D1">
              <w:rPr>
                <w:rFonts w:asciiTheme="majorHAnsi" w:hAnsiTheme="majorHAnsi" w:cs="TimesNewRoman"/>
                <w:bCs/>
                <w:sz w:val="20"/>
              </w:rPr>
              <w:t>et Formation Professionnels (EFP) et de l’éducation des adultes</w:t>
            </w:r>
          </w:p>
        </w:tc>
        <w:tc>
          <w:tcPr>
            <w:tcW w:w="2268" w:type="dxa"/>
            <w:tcBorders>
              <w:top w:val="single" w:sz="4" w:space="0" w:color="auto"/>
              <w:left w:val="single" w:sz="4" w:space="0" w:color="auto"/>
              <w:bottom w:val="single" w:sz="4" w:space="0" w:color="auto"/>
              <w:right w:val="single" w:sz="4" w:space="0" w:color="auto"/>
            </w:tcBorders>
            <w:vAlign w:val="center"/>
          </w:tcPr>
          <w:p w14:paraId="063464D3" w14:textId="77777777" w:rsidR="003C67F7" w:rsidRDefault="003C67F7" w:rsidP="001E4FB2">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Agences nationales Erasmus +</w:t>
            </w:r>
          </w:p>
        </w:tc>
        <w:tc>
          <w:tcPr>
            <w:tcW w:w="1701" w:type="dxa"/>
            <w:tcBorders>
              <w:top w:val="single" w:sz="4" w:space="0" w:color="auto"/>
              <w:left w:val="single" w:sz="4" w:space="0" w:color="auto"/>
              <w:bottom w:val="single" w:sz="4" w:space="0" w:color="auto"/>
              <w:right w:val="single" w:sz="4" w:space="0" w:color="auto"/>
            </w:tcBorders>
            <w:vAlign w:val="center"/>
          </w:tcPr>
          <w:p w14:paraId="230C9FE9" w14:textId="77777777" w:rsidR="003C67F7" w:rsidRDefault="003C67F7" w:rsidP="001E4FB2">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Coûts unitaires</w:t>
            </w:r>
          </w:p>
        </w:tc>
        <w:tc>
          <w:tcPr>
            <w:tcW w:w="1701" w:type="dxa"/>
            <w:tcBorders>
              <w:top w:val="single" w:sz="4" w:space="0" w:color="auto"/>
              <w:left w:val="single" w:sz="4" w:space="0" w:color="auto"/>
              <w:bottom w:val="single" w:sz="4" w:space="0" w:color="auto"/>
              <w:right w:val="single" w:sz="4" w:space="0" w:color="auto"/>
            </w:tcBorders>
            <w:vAlign w:val="center"/>
          </w:tcPr>
          <w:p w14:paraId="365F7C65" w14:textId="77777777" w:rsidR="003C67F7" w:rsidRDefault="003C67F7" w:rsidP="001E4FB2">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11 mai 2021</w:t>
            </w:r>
          </w:p>
        </w:tc>
      </w:tr>
      <w:tr w:rsidR="003C67F7" w14:paraId="24A8ECA6" w14:textId="77777777" w:rsidTr="001E4FB2">
        <w:trPr>
          <w:cnfStyle w:val="000000100000" w:firstRow="0" w:lastRow="0" w:firstColumn="0" w:lastColumn="0" w:oddVBand="0" w:evenVBand="0" w:oddHBand="1" w:evenHBand="0" w:firstRowFirstColumn="0" w:firstRowLastColumn="0" w:lastRowFirstColumn="0" w:lastRowLastColumn="0"/>
          <w:jc w:val="center"/>
        </w:trPr>
        <w:tc>
          <w:tcPr>
            <w:tcW w:w="3397" w:type="dxa"/>
            <w:tcBorders>
              <w:top w:val="single" w:sz="4" w:space="0" w:color="auto"/>
              <w:left w:val="single" w:sz="4" w:space="0" w:color="auto"/>
              <w:bottom w:val="single" w:sz="4" w:space="0" w:color="auto"/>
              <w:right w:val="single" w:sz="4" w:space="0" w:color="auto"/>
            </w:tcBorders>
          </w:tcPr>
          <w:p w14:paraId="4EAB416A" w14:textId="77777777" w:rsidR="003C67F7" w:rsidRDefault="003C67F7" w:rsidP="001E4FB2">
            <w:pPr>
              <w:widowControl w:val="0"/>
              <w:autoSpaceDE w:val="0"/>
              <w:autoSpaceDN w:val="0"/>
              <w:adjustRightInd w:val="0"/>
              <w:rPr>
                <w:rFonts w:asciiTheme="majorHAnsi" w:hAnsiTheme="majorHAnsi" w:cs="TimesNewRoman"/>
                <w:bCs/>
                <w:sz w:val="20"/>
              </w:rPr>
            </w:pPr>
            <w:r w:rsidRPr="005576D1">
              <w:rPr>
                <w:rFonts w:asciiTheme="majorHAnsi" w:hAnsiTheme="majorHAnsi" w:cs="TimesNewRoman"/>
                <w:bCs/>
                <w:sz w:val="20"/>
              </w:rPr>
              <w:t>Projets de mobilité de courte durée pour les secteurs de l’enseignement scolaire, EFP et l’éducation des adultes</w:t>
            </w:r>
          </w:p>
        </w:tc>
        <w:tc>
          <w:tcPr>
            <w:tcW w:w="2268" w:type="dxa"/>
            <w:tcBorders>
              <w:top w:val="single" w:sz="4" w:space="0" w:color="auto"/>
              <w:left w:val="single" w:sz="4" w:space="0" w:color="auto"/>
              <w:bottom w:val="single" w:sz="4" w:space="0" w:color="auto"/>
              <w:right w:val="single" w:sz="4" w:space="0" w:color="auto"/>
            </w:tcBorders>
            <w:vAlign w:val="center"/>
          </w:tcPr>
          <w:p w14:paraId="1AF96304" w14:textId="77777777" w:rsidR="003C67F7" w:rsidRDefault="003C67F7" w:rsidP="001E4FB2">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Agences nationales Erasmus +</w:t>
            </w:r>
          </w:p>
        </w:tc>
        <w:tc>
          <w:tcPr>
            <w:tcW w:w="1701" w:type="dxa"/>
            <w:tcBorders>
              <w:top w:val="single" w:sz="4" w:space="0" w:color="auto"/>
              <w:left w:val="single" w:sz="4" w:space="0" w:color="auto"/>
              <w:bottom w:val="single" w:sz="4" w:space="0" w:color="auto"/>
              <w:right w:val="single" w:sz="4" w:space="0" w:color="auto"/>
            </w:tcBorders>
            <w:vAlign w:val="center"/>
          </w:tcPr>
          <w:p w14:paraId="6C584C52" w14:textId="77777777" w:rsidR="003C67F7" w:rsidRDefault="003C67F7" w:rsidP="001E4FB2">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Coûts unitaires</w:t>
            </w:r>
          </w:p>
        </w:tc>
        <w:tc>
          <w:tcPr>
            <w:tcW w:w="1701" w:type="dxa"/>
            <w:tcBorders>
              <w:top w:val="single" w:sz="4" w:space="0" w:color="auto"/>
              <w:left w:val="single" w:sz="4" w:space="0" w:color="auto"/>
              <w:bottom w:val="single" w:sz="4" w:space="0" w:color="auto"/>
              <w:right w:val="single" w:sz="4" w:space="0" w:color="auto"/>
            </w:tcBorders>
            <w:vAlign w:val="center"/>
          </w:tcPr>
          <w:p w14:paraId="1274C4A7" w14:textId="77777777" w:rsidR="003C67F7" w:rsidRDefault="003C67F7" w:rsidP="001E4FB2">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11 mai 2021</w:t>
            </w:r>
          </w:p>
        </w:tc>
      </w:tr>
      <w:tr w:rsidR="003C67F7" w14:paraId="6512C905" w14:textId="77777777" w:rsidTr="001E4FB2">
        <w:trPr>
          <w:jc w:val="center"/>
        </w:trPr>
        <w:tc>
          <w:tcPr>
            <w:tcW w:w="3397" w:type="dxa"/>
            <w:tcBorders>
              <w:top w:val="single" w:sz="4" w:space="0" w:color="auto"/>
              <w:left w:val="single" w:sz="4" w:space="0" w:color="auto"/>
              <w:bottom w:val="single" w:sz="4" w:space="0" w:color="auto"/>
              <w:right w:val="single" w:sz="4" w:space="0" w:color="auto"/>
            </w:tcBorders>
          </w:tcPr>
          <w:p w14:paraId="7F8B55B2" w14:textId="77777777" w:rsidR="003C67F7" w:rsidRDefault="003C67F7" w:rsidP="001E4FB2">
            <w:pPr>
              <w:widowControl w:val="0"/>
              <w:autoSpaceDE w:val="0"/>
              <w:autoSpaceDN w:val="0"/>
              <w:adjustRightInd w:val="0"/>
              <w:rPr>
                <w:rFonts w:asciiTheme="majorHAnsi" w:hAnsiTheme="majorHAnsi" w:cs="TimesNewRoman"/>
                <w:bCs/>
                <w:sz w:val="20"/>
              </w:rPr>
            </w:pPr>
            <w:r w:rsidRPr="005576D1">
              <w:rPr>
                <w:rFonts w:asciiTheme="majorHAnsi" w:hAnsiTheme="majorHAnsi" w:cs="TimesNewRoman"/>
                <w:bCs/>
                <w:sz w:val="20"/>
              </w:rPr>
              <w:t>Accréditation de consortium de mobilité dans l’enseignement supérieur</w:t>
            </w:r>
          </w:p>
        </w:tc>
        <w:tc>
          <w:tcPr>
            <w:tcW w:w="2268" w:type="dxa"/>
            <w:tcBorders>
              <w:top w:val="single" w:sz="4" w:space="0" w:color="auto"/>
              <w:left w:val="single" w:sz="4" w:space="0" w:color="auto"/>
              <w:bottom w:val="single" w:sz="4" w:space="0" w:color="auto"/>
              <w:right w:val="single" w:sz="4" w:space="0" w:color="auto"/>
            </w:tcBorders>
            <w:vAlign w:val="center"/>
          </w:tcPr>
          <w:p w14:paraId="1F63931D" w14:textId="77777777" w:rsidR="003C67F7" w:rsidRDefault="003C67F7" w:rsidP="001E4FB2">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Agences nationales Erasmus +</w:t>
            </w:r>
          </w:p>
        </w:tc>
        <w:tc>
          <w:tcPr>
            <w:tcW w:w="1701" w:type="dxa"/>
            <w:tcBorders>
              <w:top w:val="single" w:sz="4" w:space="0" w:color="auto"/>
              <w:left w:val="single" w:sz="4" w:space="0" w:color="auto"/>
              <w:bottom w:val="single" w:sz="4" w:space="0" w:color="auto"/>
              <w:right w:val="single" w:sz="4" w:space="0" w:color="auto"/>
            </w:tcBorders>
            <w:vAlign w:val="center"/>
          </w:tcPr>
          <w:p w14:paraId="4A0F8658" w14:textId="77777777" w:rsidR="003C67F7" w:rsidRDefault="003C67F7" w:rsidP="001E4FB2">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N/A</w:t>
            </w:r>
          </w:p>
        </w:tc>
        <w:tc>
          <w:tcPr>
            <w:tcW w:w="1701" w:type="dxa"/>
            <w:tcBorders>
              <w:top w:val="single" w:sz="4" w:space="0" w:color="auto"/>
              <w:left w:val="single" w:sz="4" w:space="0" w:color="auto"/>
              <w:bottom w:val="single" w:sz="4" w:space="0" w:color="auto"/>
              <w:right w:val="single" w:sz="4" w:space="0" w:color="auto"/>
            </w:tcBorders>
            <w:vAlign w:val="center"/>
          </w:tcPr>
          <w:p w14:paraId="50A1AA65" w14:textId="77777777" w:rsidR="003C67F7" w:rsidRDefault="003C67F7" w:rsidP="001E4FB2">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11 mai 2021</w:t>
            </w:r>
          </w:p>
        </w:tc>
      </w:tr>
      <w:tr w:rsidR="003C67F7" w14:paraId="53FECFD0" w14:textId="77777777" w:rsidTr="001E4FB2">
        <w:trPr>
          <w:cnfStyle w:val="000000100000" w:firstRow="0" w:lastRow="0" w:firstColumn="0" w:lastColumn="0" w:oddVBand="0" w:evenVBand="0" w:oddHBand="1" w:evenHBand="0" w:firstRowFirstColumn="0" w:firstRowLastColumn="0" w:lastRowFirstColumn="0" w:lastRowLastColumn="0"/>
          <w:jc w:val="center"/>
        </w:trPr>
        <w:tc>
          <w:tcPr>
            <w:tcW w:w="3397" w:type="dxa"/>
            <w:tcBorders>
              <w:top w:val="single" w:sz="4" w:space="0" w:color="auto"/>
              <w:left w:val="single" w:sz="4" w:space="0" w:color="auto"/>
              <w:bottom w:val="single" w:sz="4" w:space="0" w:color="auto"/>
              <w:right w:val="single" w:sz="4" w:space="0" w:color="auto"/>
            </w:tcBorders>
          </w:tcPr>
          <w:p w14:paraId="1CB6A6FA" w14:textId="77777777" w:rsidR="003C67F7" w:rsidRDefault="003C67F7" w:rsidP="001E4FB2">
            <w:pPr>
              <w:widowControl w:val="0"/>
              <w:autoSpaceDE w:val="0"/>
              <w:autoSpaceDN w:val="0"/>
              <w:adjustRightInd w:val="0"/>
              <w:rPr>
                <w:rFonts w:asciiTheme="majorHAnsi" w:hAnsiTheme="majorHAnsi" w:cs="TimesNewRoman"/>
                <w:bCs/>
                <w:sz w:val="20"/>
              </w:rPr>
            </w:pPr>
            <w:r w:rsidRPr="005576D1">
              <w:rPr>
                <w:rFonts w:asciiTheme="majorHAnsi" w:hAnsiTheme="majorHAnsi" w:cs="TimesNewRoman"/>
                <w:bCs/>
                <w:sz w:val="20"/>
              </w:rPr>
              <w:t>Charte pour l’Enseignement supérieur (ECHE)</w:t>
            </w:r>
          </w:p>
        </w:tc>
        <w:tc>
          <w:tcPr>
            <w:tcW w:w="2268" w:type="dxa"/>
            <w:tcBorders>
              <w:top w:val="single" w:sz="4" w:space="0" w:color="auto"/>
              <w:left w:val="single" w:sz="4" w:space="0" w:color="auto"/>
              <w:bottom w:val="single" w:sz="4" w:space="0" w:color="auto"/>
              <w:right w:val="single" w:sz="4" w:space="0" w:color="auto"/>
            </w:tcBorders>
            <w:vAlign w:val="center"/>
          </w:tcPr>
          <w:p w14:paraId="2630765A" w14:textId="77777777" w:rsidR="003C67F7" w:rsidRDefault="003C67F7" w:rsidP="001E4FB2">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EACEA (Agence exécutive européenne)</w:t>
            </w:r>
          </w:p>
        </w:tc>
        <w:tc>
          <w:tcPr>
            <w:tcW w:w="1701" w:type="dxa"/>
            <w:tcBorders>
              <w:top w:val="single" w:sz="4" w:space="0" w:color="auto"/>
              <w:left w:val="single" w:sz="4" w:space="0" w:color="auto"/>
              <w:bottom w:val="single" w:sz="4" w:space="0" w:color="auto"/>
              <w:right w:val="single" w:sz="4" w:space="0" w:color="auto"/>
            </w:tcBorders>
            <w:vAlign w:val="center"/>
          </w:tcPr>
          <w:p w14:paraId="2C3910A5" w14:textId="77777777" w:rsidR="003C67F7" w:rsidRDefault="003C67F7" w:rsidP="001E4FB2">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N/A</w:t>
            </w:r>
          </w:p>
        </w:tc>
        <w:tc>
          <w:tcPr>
            <w:tcW w:w="1701" w:type="dxa"/>
            <w:tcBorders>
              <w:top w:val="single" w:sz="4" w:space="0" w:color="auto"/>
              <w:left w:val="single" w:sz="4" w:space="0" w:color="auto"/>
              <w:bottom w:val="single" w:sz="4" w:space="0" w:color="auto"/>
              <w:right w:val="single" w:sz="4" w:space="0" w:color="auto"/>
            </w:tcBorders>
            <w:vAlign w:val="center"/>
          </w:tcPr>
          <w:p w14:paraId="24405B64" w14:textId="77777777" w:rsidR="003C67F7" w:rsidRDefault="003C67F7" w:rsidP="001E4FB2">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10 juin 2021</w:t>
            </w:r>
          </w:p>
        </w:tc>
      </w:tr>
      <w:tr w:rsidR="003C67F7" w14:paraId="6503357A" w14:textId="77777777" w:rsidTr="001E4FB2">
        <w:trPr>
          <w:jc w:val="center"/>
        </w:trPr>
        <w:tc>
          <w:tcPr>
            <w:tcW w:w="3397" w:type="dxa"/>
            <w:tcBorders>
              <w:top w:val="single" w:sz="4" w:space="0" w:color="auto"/>
              <w:left w:val="single" w:sz="4" w:space="0" w:color="auto"/>
              <w:bottom w:val="single" w:sz="4" w:space="0" w:color="auto"/>
              <w:right w:val="single" w:sz="4" w:space="0" w:color="auto"/>
            </w:tcBorders>
          </w:tcPr>
          <w:p w14:paraId="71773926" w14:textId="77777777" w:rsidR="003C67F7" w:rsidRDefault="003C67F7" w:rsidP="001E4FB2">
            <w:pPr>
              <w:widowControl w:val="0"/>
              <w:autoSpaceDE w:val="0"/>
              <w:autoSpaceDN w:val="0"/>
              <w:adjustRightInd w:val="0"/>
              <w:rPr>
                <w:rFonts w:asciiTheme="majorHAnsi" w:hAnsiTheme="majorHAnsi" w:cs="TimesNewRoman"/>
                <w:bCs/>
                <w:sz w:val="20"/>
              </w:rPr>
            </w:pPr>
            <w:r w:rsidRPr="005576D1">
              <w:rPr>
                <w:rFonts w:asciiTheme="majorHAnsi" w:hAnsiTheme="majorHAnsi" w:cs="TimesNewRoman"/>
                <w:bCs/>
                <w:sz w:val="20"/>
              </w:rPr>
              <w:t xml:space="preserve">Accréditation Erasmus pour les secteurs de l’enseignement scolaire, </w:t>
            </w:r>
            <w:r>
              <w:rPr>
                <w:rFonts w:asciiTheme="majorHAnsi" w:hAnsiTheme="majorHAnsi" w:cs="TimesNewRoman"/>
                <w:bCs/>
                <w:sz w:val="20"/>
              </w:rPr>
              <w:t>de l’</w:t>
            </w:r>
            <w:r w:rsidRPr="005576D1">
              <w:rPr>
                <w:rFonts w:asciiTheme="majorHAnsi" w:hAnsiTheme="majorHAnsi" w:cs="TimesNewRoman"/>
                <w:bCs/>
                <w:sz w:val="20"/>
              </w:rPr>
              <w:t xml:space="preserve">EFP et </w:t>
            </w:r>
            <w:r>
              <w:rPr>
                <w:rFonts w:asciiTheme="majorHAnsi" w:hAnsiTheme="majorHAnsi" w:cs="TimesNewRoman"/>
                <w:bCs/>
                <w:sz w:val="20"/>
              </w:rPr>
              <w:t xml:space="preserve">de </w:t>
            </w:r>
            <w:r w:rsidRPr="005576D1">
              <w:rPr>
                <w:rFonts w:asciiTheme="majorHAnsi" w:hAnsiTheme="majorHAnsi" w:cs="TimesNewRoman"/>
                <w:bCs/>
                <w:sz w:val="20"/>
              </w:rPr>
              <w:t>l’</w:t>
            </w:r>
            <w:r>
              <w:rPr>
                <w:rFonts w:asciiTheme="majorHAnsi" w:hAnsiTheme="majorHAnsi" w:cs="TimesNewRoman"/>
                <w:bCs/>
                <w:sz w:val="20"/>
              </w:rPr>
              <w:t>é</w:t>
            </w:r>
            <w:r w:rsidRPr="005576D1">
              <w:rPr>
                <w:rFonts w:asciiTheme="majorHAnsi" w:hAnsiTheme="majorHAnsi" w:cs="TimesNewRoman"/>
                <w:bCs/>
                <w:sz w:val="20"/>
              </w:rPr>
              <w:t xml:space="preserve">ducation des adultes </w:t>
            </w:r>
          </w:p>
        </w:tc>
        <w:tc>
          <w:tcPr>
            <w:tcW w:w="2268" w:type="dxa"/>
            <w:tcBorders>
              <w:top w:val="single" w:sz="4" w:space="0" w:color="auto"/>
              <w:left w:val="single" w:sz="4" w:space="0" w:color="auto"/>
              <w:bottom w:val="single" w:sz="4" w:space="0" w:color="auto"/>
              <w:right w:val="single" w:sz="4" w:space="0" w:color="auto"/>
            </w:tcBorders>
            <w:vAlign w:val="center"/>
          </w:tcPr>
          <w:p w14:paraId="05D857CD" w14:textId="77777777" w:rsidR="003C67F7" w:rsidRDefault="003C67F7" w:rsidP="001E4FB2">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Agences nationales Erasmus +</w:t>
            </w:r>
          </w:p>
        </w:tc>
        <w:tc>
          <w:tcPr>
            <w:tcW w:w="1701" w:type="dxa"/>
            <w:tcBorders>
              <w:top w:val="single" w:sz="4" w:space="0" w:color="auto"/>
              <w:left w:val="single" w:sz="4" w:space="0" w:color="auto"/>
              <w:bottom w:val="single" w:sz="4" w:space="0" w:color="auto"/>
              <w:right w:val="single" w:sz="4" w:space="0" w:color="auto"/>
            </w:tcBorders>
            <w:vAlign w:val="center"/>
          </w:tcPr>
          <w:p w14:paraId="57AD03A7" w14:textId="77777777" w:rsidR="003C67F7" w:rsidRDefault="003C67F7" w:rsidP="001E4FB2">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N/A</w:t>
            </w:r>
          </w:p>
        </w:tc>
        <w:tc>
          <w:tcPr>
            <w:tcW w:w="1701" w:type="dxa"/>
            <w:tcBorders>
              <w:top w:val="single" w:sz="4" w:space="0" w:color="auto"/>
              <w:left w:val="single" w:sz="4" w:space="0" w:color="auto"/>
              <w:bottom w:val="single" w:sz="4" w:space="0" w:color="auto"/>
              <w:right w:val="single" w:sz="4" w:space="0" w:color="auto"/>
            </w:tcBorders>
            <w:vAlign w:val="center"/>
          </w:tcPr>
          <w:p w14:paraId="2371EFA4" w14:textId="77777777" w:rsidR="003C67F7" w:rsidRDefault="003C67F7" w:rsidP="001E4FB2">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19 octobre 2021</w:t>
            </w:r>
          </w:p>
        </w:tc>
      </w:tr>
      <w:tr w:rsidR="003C67F7" w14:paraId="373CAC25" w14:textId="77777777" w:rsidTr="001E4FB2">
        <w:trPr>
          <w:cnfStyle w:val="000000100000" w:firstRow="0" w:lastRow="0" w:firstColumn="0" w:lastColumn="0" w:oddVBand="0" w:evenVBand="0" w:oddHBand="1" w:evenHBand="0" w:firstRowFirstColumn="0" w:firstRowLastColumn="0" w:lastRowFirstColumn="0" w:lastRowLastColumn="0"/>
          <w:jc w:val="center"/>
        </w:trPr>
        <w:tc>
          <w:tcPr>
            <w:tcW w:w="3397" w:type="dxa"/>
            <w:tcBorders>
              <w:top w:val="single" w:sz="4" w:space="0" w:color="auto"/>
              <w:left w:val="single" w:sz="4" w:space="0" w:color="auto"/>
              <w:bottom w:val="single" w:sz="4" w:space="0" w:color="auto"/>
              <w:right w:val="single" w:sz="4" w:space="0" w:color="auto"/>
            </w:tcBorders>
          </w:tcPr>
          <w:p w14:paraId="47276D6D" w14:textId="77777777" w:rsidR="003C67F7" w:rsidRDefault="003C67F7" w:rsidP="001E4FB2">
            <w:pPr>
              <w:widowControl w:val="0"/>
              <w:autoSpaceDE w:val="0"/>
              <w:autoSpaceDN w:val="0"/>
              <w:adjustRightInd w:val="0"/>
              <w:rPr>
                <w:rFonts w:asciiTheme="majorHAnsi" w:hAnsiTheme="majorHAnsi" w:cs="TimesNewRoman"/>
                <w:bCs/>
                <w:sz w:val="20"/>
              </w:rPr>
            </w:pPr>
            <w:r w:rsidRPr="007A5EB3">
              <w:rPr>
                <w:rFonts w:asciiTheme="majorHAnsi" w:hAnsiTheme="majorHAnsi" w:cs="TimesNewRoman"/>
                <w:bCs/>
                <w:sz w:val="20"/>
              </w:rPr>
              <w:t>Mobilité des individus dans le domaine de la jeunesse</w:t>
            </w:r>
          </w:p>
        </w:tc>
        <w:tc>
          <w:tcPr>
            <w:tcW w:w="2268" w:type="dxa"/>
            <w:tcBorders>
              <w:top w:val="single" w:sz="4" w:space="0" w:color="auto"/>
              <w:left w:val="single" w:sz="4" w:space="0" w:color="auto"/>
              <w:bottom w:val="single" w:sz="4" w:space="0" w:color="auto"/>
              <w:right w:val="single" w:sz="4" w:space="0" w:color="auto"/>
            </w:tcBorders>
            <w:vAlign w:val="center"/>
          </w:tcPr>
          <w:p w14:paraId="4E9DBBD9" w14:textId="77777777" w:rsidR="003C67F7" w:rsidRDefault="003C67F7" w:rsidP="001E4FB2">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Agences nationales Erasmus+</w:t>
            </w:r>
          </w:p>
        </w:tc>
        <w:tc>
          <w:tcPr>
            <w:tcW w:w="1701" w:type="dxa"/>
            <w:tcBorders>
              <w:top w:val="single" w:sz="4" w:space="0" w:color="auto"/>
              <w:left w:val="single" w:sz="4" w:space="0" w:color="auto"/>
              <w:bottom w:val="single" w:sz="4" w:space="0" w:color="auto"/>
              <w:right w:val="single" w:sz="4" w:space="0" w:color="auto"/>
            </w:tcBorders>
            <w:vAlign w:val="center"/>
          </w:tcPr>
          <w:p w14:paraId="143C5817" w14:textId="77777777" w:rsidR="003C67F7" w:rsidRDefault="003C67F7" w:rsidP="001E4FB2">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Coûts unitaires</w:t>
            </w:r>
          </w:p>
        </w:tc>
        <w:tc>
          <w:tcPr>
            <w:tcW w:w="1701" w:type="dxa"/>
            <w:tcBorders>
              <w:top w:val="single" w:sz="4" w:space="0" w:color="auto"/>
              <w:left w:val="single" w:sz="4" w:space="0" w:color="auto"/>
              <w:bottom w:val="single" w:sz="4" w:space="0" w:color="auto"/>
              <w:right w:val="single" w:sz="4" w:space="0" w:color="auto"/>
            </w:tcBorders>
            <w:vAlign w:val="center"/>
          </w:tcPr>
          <w:p w14:paraId="6A0C1F2D" w14:textId="77777777" w:rsidR="003C67F7" w:rsidRDefault="003C67F7" w:rsidP="001E4FB2">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 xml:space="preserve">- </w:t>
            </w:r>
            <w:r w:rsidRPr="007A5EB3">
              <w:rPr>
                <w:rFonts w:asciiTheme="majorHAnsi" w:hAnsiTheme="majorHAnsi" w:cs="TimesNewRoman"/>
                <w:bCs/>
                <w:sz w:val="20"/>
              </w:rPr>
              <w:t>11 mai</w:t>
            </w:r>
            <w:r>
              <w:rPr>
                <w:rFonts w:asciiTheme="majorHAnsi" w:hAnsiTheme="majorHAnsi" w:cs="TimesNewRoman"/>
                <w:bCs/>
                <w:sz w:val="20"/>
              </w:rPr>
              <w:t xml:space="preserve"> 2021</w:t>
            </w:r>
          </w:p>
          <w:p w14:paraId="6E1503B8" w14:textId="77777777" w:rsidR="003C67F7" w:rsidRDefault="003C67F7" w:rsidP="001E4FB2">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 xml:space="preserve">- </w:t>
            </w:r>
            <w:r w:rsidRPr="007A5EB3">
              <w:rPr>
                <w:rFonts w:asciiTheme="majorHAnsi" w:hAnsiTheme="majorHAnsi" w:cs="TimesNewRoman"/>
                <w:bCs/>
                <w:sz w:val="20"/>
              </w:rPr>
              <w:t xml:space="preserve">5 </w:t>
            </w:r>
            <w:r>
              <w:rPr>
                <w:rFonts w:asciiTheme="majorHAnsi" w:hAnsiTheme="majorHAnsi" w:cs="TimesNewRoman"/>
                <w:bCs/>
                <w:sz w:val="20"/>
              </w:rPr>
              <w:t>octobre 2021</w:t>
            </w:r>
          </w:p>
        </w:tc>
      </w:tr>
    </w:tbl>
    <w:p w14:paraId="27E16A94" w14:textId="77777777" w:rsidR="003C67F7" w:rsidRPr="00391BE7" w:rsidRDefault="003C67F7" w:rsidP="00257162">
      <w:pPr>
        <w:ind w:left="708"/>
      </w:pPr>
    </w:p>
    <w:sectPr w:rsidR="003C67F7" w:rsidRPr="00391BE7" w:rsidSect="009841B5">
      <w:type w:val="continuous"/>
      <w:pgSz w:w="11900" w:h="16840"/>
      <w:pgMar w:top="1276" w:right="985"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BDEE1" w14:textId="77777777" w:rsidR="006674D5" w:rsidRDefault="006674D5" w:rsidP="009E185E">
      <w:r>
        <w:separator/>
      </w:r>
    </w:p>
  </w:endnote>
  <w:endnote w:type="continuationSeparator" w:id="0">
    <w:p w14:paraId="22CB3CA8" w14:textId="77777777" w:rsidR="006674D5" w:rsidRDefault="006674D5" w:rsidP="009E1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Corps CS)">
    <w:altName w:val="Times New Roman"/>
    <w:charset w:val="00"/>
    <w:family w:val="roman"/>
    <w:pitch w:val="default"/>
  </w:font>
  <w:font w:name="Lucida Grande">
    <w:altName w:val="Segoe UI"/>
    <w:charset w:val="00"/>
    <w:family w:val="swiss"/>
    <w:pitch w:val="variable"/>
    <w:sig w:usb0="E1000AEF" w:usb1="5000A1FF" w:usb2="00000000" w:usb3="00000000" w:csb0="000001BF" w:csb1="00000000"/>
  </w:font>
  <w:font w:name="Trajan Pro">
    <w:altName w:val="Calibri"/>
    <w:panose1 w:val="00000000000000000000"/>
    <w:charset w:val="4D"/>
    <w:family w:val="roman"/>
    <w:notTrueType/>
    <w:pitch w:val="variable"/>
    <w:sig w:usb0="00000007" w:usb1="00000000" w:usb2="00000000" w:usb3="00000000" w:csb0="00000093" w:csb1="00000000"/>
  </w:font>
  <w:font w:name="Orator Std">
    <w:altName w:val="Lucida Sans Typewriter"/>
    <w:panose1 w:val="00000000000000000000"/>
    <w:charset w:val="4D"/>
    <w:family w:val="modern"/>
    <w:notTrueType/>
    <w:pitch w:val="fixed"/>
    <w:sig w:usb0="00000003" w:usb1="00000000" w:usb2="00000000" w:usb3="00000000" w:csb0="00000001" w:csb1="00000000"/>
  </w:font>
  <w:font w:name="TimesNewRoman">
    <w:altName w:val="Cambria"/>
    <w:panose1 w:val="00000000000000000000"/>
    <w:charset w:val="4D"/>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84A1D" w14:textId="77777777" w:rsidR="007026EB" w:rsidRDefault="007026EB" w:rsidP="000749A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E4019FF" w14:textId="77777777" w:rsidR="007026EB" w:rsidRDefault="007026EB" w:rsidP="00E06D6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0720D" w14:textId="77777777" w:rsidR="007026EB" w:rsidRDefault="007026EB" w:rsidP="000749A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7A7486">
      <w:rPr>
        <w:rStyle w:val="Numrodepage"/>
        <w:noProof/>
      </w:rPr>
      <w:t>1</w:t>
    </w:r>
    <w:r>
      <w:rPr>
        <w:rStyle w:val="Numrodepage"/>
      </w:rPr>
      <w:fldChar w:fldCharType="end"/>
    </w:r>
  </w:p>
  <w:tbl>
    <w:tblPr>
      <w:tblStyle w:val="Grilledutableau"/>
      <w:tblW w:w="0" w:type="auto"/>
      <w:tblBorders>
        <w:top w:val="none" w:sz="0" w:space="0" w:color="auto"/>
        <w:left w:val="none" w:sz="0" w:space="0" w:color="auto"/>
        <w:bottom w:val="none" w:sz="0" w:space="0" w:color="auto"/>
        <w:right w:val="none" w:sz="0" w:space="0" w:color="auto"/>
        <w:insideH w:val="single" w:sz="18" w:space="0" w:color="auto"/>
        <w:insideV w:val="single" w:sz="12" w:space="0" w:color="auto"/>
      </w:tblBorders>
      <w:tblLook w:val="04A0" w:firstRow="1" w:lastRow="0" w:firstColumn="1" w:lastColumn="0" w:noHBand="0" w:noVBand="1"/>
    </w:tblPr>
    <w:tblGrid>
      <w:gridCol w:w="1661"/>
      <w:gridCol w:w="6166"/>
      <w:gridCol w:w="1954"/>
    </w:tblGrid>
    <w:tr w:rsidR="007026EB" w14:paraId="459D10F2" w14:textId="77777777" w:rsidTr="00211346">
      <w:tc>
        <w:tcPr>
          <w:tcW w:w="1418" w:type="dxa"/>
        </w:tcPr>
        <w:p w14:paraId="6FD420AE" w14:textId="77777777" w:rsidR="007026EB" w:rsidRPr="007369AA" w:rsidRDefault="007026EB" w:rsidP="00E06D6D">
          <w:pPr>
            <w:pStyle w:val="Pieddepage"/>
            <w:ind w:right="360"/>
            <w:jc w:val="right"/>
            <w:rPr>
              <w:sz w:val="20"/>
              <w:szCs w:val="21"/>
            </w:rPr>
          </w:pPr>
          <w:r w:rsidRPr="007369AA">
            <w:rPr>
              <w:rFonts w:ascii="Orator Std" w:hAnsi="Orator Std"/>
              <w:color w:val="5F497A" w:themeColor="accent4" w:themeShade="BF"/>
              <w:sz w:val="20"/>
              <w:szCs w:val="21"/>
            </w:rPr>
            <w:t>Enviropea</w:t>
          </w:r>
        </w:p>
      </w:tc>
      <w:tc>
        <w:tcPr>
          <w:tcW w:w="6520" w:type="dxa"/>
        </w:tcPr>
        <w:p w14:paraId="37F6A9C0" w14:textId="77777777" w:rsidR="007026EB" w:rsidRPr="007369AA" w:rsidRDefault="007026EB" w:rsidP="00E06D6D">
          <w:pPr>
            <w:pStyle w:val="Pieddepage"/>
            <w:ind w:right="360"/>
            <w:jc w:val="right"/>
            <w:rPr>
              <w:sz w:val="20"/>
              <w:szCs w:val="21"/>
            </w:rPr>
          </w:pPr>
          <w:r>
            <w:rPr>
              <w:rFonts w:ascii="Orator Std" w:hAnsi="Orator Std"/>
              <w:color w:val="5F497A" w:themeColor="accent4" w:themeShade="BF"/>
              <w:sz w:val="20"/>
              <w:szCs w:val="21"/>
            </w:rPr>
            <w:t>Mobilisation fonds européens - Grand Est</w:t>
          </w:r>
        </w:p>
      </w:tc>
      <w:tc>
        <w:tcPr>
          <w:tcW w:w="2034" w:type="dxa"/>
          <w:shd w:val="clear" w:color="auto" w:fill="DFDFFF"/>
        </w:tcPr>
        <w:p w14:paraId="0CDAEC04" w14:textId="77777777" w:rsidR="007026EB" w:rsidRDefault="007026EB" w:rsidP="00E06D6D">
          <w:pPr>
            <w:pStyle w:val="Pieddepage"/>
            <w:ind w:right="360"/>
          </w:pPr>
          <w:r>
            <w:t>2021</w:t>
          </w:r>
        </w:p>
      </w:tc>
    </w:tr>
  </w:tbl>
  <w:p w14:paraId="359FF64C" w14:textId="77777777" w:rsidR="007026EB" w:rsidRDefault="007026EB" w:rsidP="00E06D6D">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58872" w14:textId="77777777" w:rsidR="006674D5" w:rsidRDefault="006674D5" w:rsidP="009E185E">
      <w:r>
        <w:separator/>
      </w:r>
    </w:p>
  </w:footnote>
  <w:footnote w:type="continuationSeparator" w:id="0">
    <w:p w14:paraId="35C46897" w14:textId="77777777" w:rsidR="006674D5" w:rsidRDefault="006674D5" w:rsidP="009E185E">
      <w:r>
        <w:continuationSeparator/>
      </w:r>
    </w:p>
  </w:footnote>
  <w:footnote w:id="1">
    <w:p w14:paraId="52EB8962" w14:textId="21C778BE" w:rsidR="00625478" w:rsidRDefault="00625478">
      <w:pPr>
        <w:pStyle w:val="Notedebasdepage"/>
      </w:pPr>
      <w:r>
        <w:rPr>
          <w:rStyle w:val="Appelnotedebasdep"/>
        </w:rPr>
        <w:footnoteRef/>
      </w:r>
      <w:r>
        <w:t xml:space="preserve"> Il est possible qu’un second appel à projet soit publié pour un dépôt de projets de mobilité à l’automne. N’hésitez pas à consulter régulièrement les sites des différentes agences.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BC610" w14:textId="77777777" w:rsidR="007026EB" w:rsidRDefault="007026EB" w:rsidP="00211346">
    <w:pPr>
      <w:pStyle w:val="En-tte"/>
      <w:jc w:val="center"/>
    </w:pPr>
    <w:r>
      <w:rPr>
        <w:noProof/>
      </w:rPr>
      <w:drawing>
        <wp:anchor distT="0" distB="0" distL="114300" distR="114300" simplePos="0" relativeHeight="251659264" behindDoc="1" locked="0" layoutInCell="1" allowOverlap="1" wp14:anchorId="4E1A5F7C" wp14:editId="64CDF854">
          <wp:simplePos x="0" y="0"/>
          <wp:positionH relativeFrom="column">
            <wp:posOffset>-701040</wp:posOffset>
          </wp:positionH>
          <wp:positionV relativeFrom="paragraph">
            <wp:posOffset>-400050</wp:posOffset>
          </wp:positionV>
          <wp:extent cx="795655" cy="795655"/>
          <wp:effectExtent l="0" t="0" r="4445" b="4445"/>
          <wp:wrapNone/>
          <wp:docPr id="6" name="Image 6" descr="ademe - YouTube">
            <a:extLst xmlns:a="http://schemas.openxmlformats.org/drawingml/2006/main">
              <a:ext uri="{FF2B5EF4-FFF2-40B4-BE49-F238E27FC236}">
                <a16:creationId xmlns:a16="http://schemas.microsoft.com/office/drawing/2014/main" id="{EE29DD88-45FE-4A61-B385-CE960F1E1D52}"/>
              </a:ext>
            </a:extLst>
          </wp:docPr>
          <wp:cNvGraphicFramePr/>
          <a:graphic xmlns:a="http://schemas.openxmlformats.org/drawingml/2006/main">
            <a:graphicData uri="http://schemas.openxmlformats.org/drawingml/2006/picture">
              <pic:pic xmlns:pic="http://schemas.openxmlformats.org/drawingml/2006/picture">
                <pic:nvPicPr>
                  <pic:cNvPr id="2" name="Image 1" descr="ademe - YouTube">
                    <a:extLst>
                      <a:ext uri="{FF2B5EF4-FFF2-40B4-BE49-F238E27FC236}">
                        <a16:creationId xmlns:a16="http://schemas.microsoft.com/office/drawing/2014/main" id="{EE29DD88-45FE-4A61-B385-CE960F1E1D52}"/>
                      </a:ext>
                    </a:extLst>
                  </pic:cNvPr>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95655" cy="7956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sz w:val="56"/>
        <w:szCs w:val="56"/>
      </w:rPr>
      <w:drawing>
        <wp:anchor distT="0" distB="0" distL="114300" distR="114300" simplePos="0" relativeHeight="251658240" behindDoc="1" locked="0" layoutInCell="1" allowOverlap="1" wp14:anchorId="4CBC9804" wp14:editId="7A20A1B3">
          <wp:simplePos x="0" y="0"/>
          <wp:positionH relativeFrom="column">
            <wp:posOffset>5682153</wp:posOffset>
          </wp:positionH>
          <wp:positionV relativeFrom="paragraph">
            <wp:posOffset>-280670</wp:posOffset>
          </wp:positionV>
          <wp:extent cx="993352" cy="222127"/>
          <wp:effectExtent l="0" t="0" r="0" b="698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viropea.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93352" cy="22212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1" locked="0" layoutInCell="1" allowOverlap="1" wp14:anchorId="50E83E79" wp14:editId="78B177E7">
          <wp:simplePos x="0" y="0"/>
          <wp:positionH relativeFrom="column">
            <wp:posOffset>58632</wp:posOffset>
          </wp:positionH>
          <wp:positionV relativeFrom="paragraph">
            <wp:posOffset>-238337</wp:posOffset>
          </wp:positionV>
          <wp:extent cx="1286510" cy="424815"/>
          <wp:effectExtent l="0" t="0" r="8890" b="0"/>
          <wp:wrapNone/>
          <wp:docPr id="10" name="Image 2" descr="Grand Est: Les meilleures parodies du nouveau logo de la ...">
            <a:extLst xmlns:a="http://schemas.openxmlformats.org/drawingml/2006/main">
              <a:ext uri="{FF2B5EF4-FFF2-40B4-BE49-F238E27FC236}">
                <a16:creationId xmlns:a16="http://schemas.microsoft.com/office/drawing/2014/main" id="{CF9234C4-C083-4911-A0C6-AF86BCE63650}"/>
              </a:ext>
            </a:extLst>
          </wp:docPr>
          <wp:cNvGraphicFramePr/>
          <a:graphic xmlns:a="http://schemas.openxmlformats.org/drawingml/2006/main">
            <a:graphicData uri="http://schemas.openxmlformats.org/drawingml/2006/picture">
              <pic:pic xmlns:pic="http://schemas.openxmlformats.org/drawingml/2006/picture">
                <pic:nvPicPr>
                  <pic:cNvPr id="3" name="Image 2" descr="Grand Est: Les meilleures parodies du nouveau logo de la ...">
                    <a:extLst>
                      <a:ext uri="{FF2B5EF4-FFF2-40B4-BE49-F238E27FC236}">
                        <a16:creationId xmlns:a16="http://schemas.microsoft.com/office/drawing/2014/main" id="{CF9234C4-C083-4911-A0C6-AF86BCE63650}"/>
                      </a:ext>
                    </a:extLst>
                  </pic:cNvPr>
                  <pic:cNvPicPr/>
                </pic:nvPicPr>
                <pic:blipFill rotWithShape="1">
                  <a:blip r:embed="rId3" cstate="print">
                    <a:extLst>
                      <a:ext uri="{28A0092B-C50C-407E-A947-70E740481C1C}">
                        <a14:useLocalDpi xmlns:a14="http://schemas.microsoft.com/office/drawing/2010/main" val="0"/>
                      </a:ext>
                    </a:extLst>
                  </a:blip>
                  <a:srcRect l="16273" t="30578" r="17470" b="35230"/>
                  <a:stretch/>
                </pic:blipFill>
                <pic:spPr bwMode="auto">
                  <a:xfrm>
                    <a:off x="0" y="0"/>
                    <a:ext cx="1286510" cy="424815"/>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11E99"/>
    <w:multiLevelType w:val="hybridMultilevel"/>
    <w:tmpl w:val="BA0E2ED8"/>
    <w:lvl w:ilvl="0" w:tplc="C368278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83497C"/>
    <w:multiLevelType w:val="hybridMultilevel"/>
    <w:tmpl w:val="6860C0C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0F0164C"/>
    <w:multiLevelType w:val="hybridMultilevel"/>
    <w:tmpl w:val="36BC20C8"/>
    <w:lvl w:ilvl="0" w:tplc="040C0003">
      <w:start w:val="1"/>
      <w:numFmt w:val="bullet"/>
      <w:lvlText w:val="o"/>
      <w:lvlJc w:val="left"/>
      <w:pPr>
        <w:ind w:left="1068" w:hanging="360"/>
      </w:pPr>
      <w:rPr>
        <w:rFonts w:ascii="Courier New" w:hAnsi="Courier New" w:cs="Courier New"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038A6845"/>
    <w:multiLevelType w:val="hybridMultilevel"/>
    <w:tmpl w:val="84122582"/>
    <w:lvl w:ilvl="0" w:tplc="CE9E388C">
      <w:start w:val="3"/>
      <w:numFmt w:val="bullet"/>
      <w:lvlText w:val=""/>
      <w:lvlJc w:val="left"/>
      <w:pPr>
        <w:ind w:left="360" w:hanging="360"/>
      </w:pPr>
      <w:rPr>
        <w:rFonts w:ascii="Wingdings" w:eastAsiaTheme="minorEastAsia" w:hAnsi="Wingdings" w:cstheme="minorHAnsi" w:hint="default"/>
      </w:rPr>
    </w:lvl>
    <w:lvl w:ilvl="1" w:tplc="040C000B">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3FE64B8"/>
    <w:multiLevelType w:val="hybridMultilevel"/>
    <w:tmpl w:val="7700985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51E7879"/>
    <w:multiLevelType w:val="hybridMultilevel"/>
    <w:tmpl w:val="0764FFE6"/>
    <w:lvl w:ilvl="0" w:tplc="5C62B292">
      <w:start w:val="1"/>
      <w:numFmt w:val="bullet"/>
      <w:pStyle w:val="Titre2"/>
      <w:lvlText w:val=""/>
      <w:lvlJc w:val="left"/>
      <w:pPr>
        <w:ind w:left="2136" w:hanging="360"/>
      </w:pPr>
      <w:rPr>
        <w:rFonts w:ascii="Wingdings" w:hAnsi="Wingdings" w:hint="default"/>
      </w:rPr>
    </w:lvl>
    <w:lvl w:ilvl="1" w:tplc="040C0003">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6" w15:restartNumberingAfterBreak="0">
    <w:nsid w:val="08F002B8"/>
    <w:multiLevelType w:val="hybridMultilevel"/>
    <w:tmpl w:val="94E479A0"/>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0AF930A3"/>
    <w:multiLevelType w:val="hybridMultilevel"/>
    <w:tmpl w:val="39C0FADC"/>
    <w:lvl w:ilvl="0" w:tplc="040C0003">
      <w:start w:val="1"/>
      <w:numFmt w:val="bullet"/>
      <w:lvlText w:val="o"/>
      <w:lvlJc w:val="left"/>
      <w:pPr>
        <w:ind w:left="360" w:hanging="360"/>
      </w:pPr>
      <w:rPr>
        <w:rFonts w:ascii="Courier New" w:hAnsi="Courier New" w:cs="Courier New" w:hint="default"/>
      </w:rPr>
    </w:lvl>
    <w:lvl w:ilvl="1" w:tplc="040C0005">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0B9D30DE"/>
    <w:multiLevelType w:val="hybridMultilevel"/>
    <w:tmpl w:val="EADA61FA"/>
    <w:lvl w:ilvl="0" w:tplc="8E12B212">
      <w:start w:val="7"/>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EDD6105"/>
    <w:multiLevelType w:val="hybridMultilevel"/>
    <w:tmpl w:val="0B0AD780"/>
    <w:lvl w:ilvl="0" w:tplc="040C0015">
      <w:start w:val="1"/>
      <w:numFmt w:val="upperLetter"/>
      <w:lvlText w:val="%1."/>
      <w:lvlJc w:val="left"/>
      <w:pPr>
        <w:ind w:left="720" w:hanging="360"/>
      </w:pPr>
      <w:rPr>
        <w:rFonts w:hint="default"/>
      </w:rPr>
    </w:lvl>
    <w:lvl w:ilvl="1" w:tplc="F5CEA5A8">
      <w:start w:val="20"/>
      <w:numFmt w:val="bullet"/>
      <w:lvlText w:val="-"/>
      <w:lvlJc w:val="left"/>
      <w:pPr>
        <w:ind w:left="720" w:hanging="360"/>
      </w:pPr>
      <w:rPr>
        <w:rFonts w:ascii="Calibri" w:eastAsiaTheme="minorEastAsia" w:hAnsi="Calibri" w:cs="Calibri" w:hint="default"/>
      </w:rPr>
    </w:lvl>
    <w:lvl w:ilvl="2" w:tplc="CE9E388C">
      <w:start w:val="3"/>
      <w:numFmt w:val="bullet"/>
      <w:lvlText w:val=""/>
      <w:lvlJc w:val="left"/>
      <w:pPr>
        <w:ind w:left="2340" w:hanging="360"/>
      </w:pPr>
      <w:rPr>
        <w:rFonts w:ascii="Wingdings" w:eastAsiaTheme="minorEastAsia" w:hAnsi="Wingdings" w:cstheme="minorHAnsi"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72D5D21"/>
    <w:multiLevelType w:val="hybridMultilevel"/>
    <w:tmpl w:val="269807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189A72A5"/>
    <w:multiLevelType w:val="hybridMultilevel"/>
    <w:tmpl w:val="D38649A8"/>
    <w:lvl w:ilvl="0" w:tplc="040C0005">
      <w:start w:val="1"/>
      <w:numFmt w:val="bullet"/>
      <w:lvlText w:val=""/>
      <w:lvlJc w:val="left"/>
      <w:pPr>
        <w:ind w:left="1068" w:hanging="360"/>
      </w:pPr>
      <w:rPr>
        <w:rFonts w:ascii="Wingdings" w:hAnsi="Wingdings"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1C867169"/>
    <w:multiLevelType w:val="hybridMultilevel"/>
    <w:tmpl w:val="4BCC4158"/>
    <w:lvl w:ilvl="0" w:tplc="1B7480CC">
      <w:start w:val="5"/>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1C1269D"/>
    <w:multiLevelType w:val="hybridMultilevel"/>
    <w:tmpl w:val="D7CE8A96"/>
    <w:lvl w:ilvl="0" w:tplc="F32C98E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2280AEC"/>
    <w:multiLevelType w:val="hybridMultilevel"/>
    <w:tmpl w:val="F10E29B8"/>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27A6287"/>
    <w:multiLevelType w:val="hybridMultilevel"/>
    <w:tmpl w:val="39747860"/>
    <w:lvl w:ilvl="0" w:tplc="040C000B">
      <w:start w:val="1"/>
      <w:numFmt w:val="bullet"/>
      <w:lvlText w:val=""/>
      <w:lvlJc w:val="left"/>
      <w:pPr>
        <w:ind w:left="360" w:hanging="360"/>
      </w:pPr>
      <w:rPr>
        <w:rFonts w:ascii="Wingdings" w:hAnsi="Wingdings" w:hint="default"/>
      </w:rPr>
    </w:lvl>
    <w:lvl w:ilvl="1" w:tplc="CE9E388C">
      <w:start w:val="3"/>
      <w:numFmt w:val="bullet"/>
      <w:lvlText w:val=""/>
      <w:lvlJc w:val="left"/>
      <w:pPr>
        <w:ind w:left="1080" w:hanging="360"/>
      </w:pPr>
      <w:rPr>
        <w:rFonts w:ascii="Wingdings" w:eastAsiaTheme="minorEastAsia" w:hAnsi="Wingdings" w:cstheme="minorHAns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2660577E"/>
    <w:multiLevelType w:val="hybridMultilevel"/>
    <w:tmpl w:val="0E16D1F8"/>
    <w:lvl w:ilvl="0" w:tplc="C7189DC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7BE6A29"/>
    <w:multiLevelType w:val="hybridMultilevel"/>
    <w:tmpl w:val="16DA115E"/>
    <w:lvl w:ilvl="0" w:tplc="07B60D3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B9778D5"/>
    <w:multiLevelType w:val="hybridMultilevel"/>
    <w:tmpl w:val="C7DE2676"/>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2BB20F64"/>
    <w:multiLevelType w:val="hybridMultilevel"/>
    <w:tmpl w:val="4BD81394"/>
    <w:lvl w:ilvl="0" w:tplc="040C0003">
      <w:start w:val="1"/>
      <w:numFmt w:val="bullet"/>
      <w:lvlText w:val="o"/>
      <w:lvlJc w:val="left"/>
      <w:pPr>
        <w:ind w:left="360" w:hanging="360"/>
      </w:pPr>
      <w:rPr>
        <w:rFonts w:ascii="Courier New" w:hAnsi="Courier New" w:cs="Courier New" w:hint="default"/>
      </w:rPr>
    </w:lvl>
    <w:lvl w:ilvl="1" w:tplc="040C0005">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2C520C1F"/>
    <w:multiLevelType w:val="hybridMultilevel"/>
    <w:tmpl w:val="401841F8"/>
    <w:lvl w:ilvl="0" w:tplc="040C0005">
      <w:start w:val="1"/>
      <w:numFmt w:val="bullet"/>
      <w:lvlText w:val=""/>
      <w:lvlJc w:val="left"/>
      <w:pPr>
        <w:ind w:left="1080" w:hanging="360"/>
      </w:pPr>
      <w:rPr>
        <w:rFonts w:ascii="Wingdings" w:hAnsi="Wingdings" w:hint="default"/>
      </w:rPr>
    </w:lvl>
    <w:lvl w:ilvl="1" w:tplc="040C0005">
      <w:start w:val="1"/>
      <w:numFmt w:val="bullet"/>
      <w:lvlText w:val=""/>
      <w:lvlJc w:val="left"/>
      <w:pPr>
        <w:ind w:left="1800" w:hanging="360"/>
      </w:pPr>
      <w:rPr>
        <w:rFonts w:ascii="Wingdings" w:hAnsi="Wingdings"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2CD92A86"/>
    <w:multiLevelType w:val="hybridMultilevel"/>
    <w:tmpl w:val="417ED95C"/>
    <w:lvl w:ilvl="0" w:tplc="040C0003">
      <w:start w:val="1"/>
      <w:numFmt w:val="bullet"/>
      <w:lvlText w:val="o"/>
      <w:lvlJc w:val="left"/>
      <w:pPr>
        <w:ind w:left="1068" w:hanging="360"/>
      </w:pPr>
      <w:rPr>
        <w:rFonts w:ascii="Courier New" w:hAnsi="Courier New" w:cs="Courier New" w:hint="default"/>
      </w:rPr>
    </w:lvl>
    <w:lvl w:ilvl="1" w:tplc="040C0005">
      <w:start w:val="1"/>
      <w:numFmt w:val="bullet"/>
      <w:lvlText w:val=""/>
      <w:lvlJc w:val="left"/>
      <w:pPr>
        <w:ind w:left="1788" w:hanging="360"/>
      </w:pPr>
      <w:rPr>
        <w:rFonts w:ascii="Wingdings" w:hAnsi="Wingdings"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2" w15:restartNumberingAfterBreak="0">
    <w:nsid w:val="2D55445F"/>
    <w:multiLevelType w:val="hybridMultilevel"/>
    <w:tmpl w:val="47423B7C"/>
    <w:lvl w:ilvl="0" w:tplc="040C0003">
      <w:start w:val="1"/>
      <w:numFmt w:val="bullet"/>
      <w:lvlText w:val="o"/>
      <w:lvlJc w:val="left"/>
      <w:pPr>
        <w:ind w:left="360" w:hanging="360"/>
      </w:pPr>
      <w:rPr>
        <w:rFonts w:ascii="Courier New" w:hAnsi="Courier New" w:cs="Courier New"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355D6428"/>
    <w:multiLevelType w:val="hybridMultilevel"/>
    <w:tmpl w:val="5C7C7CB8"/>
    <w:lvl w:ilvl="0" w:tplc="040C0005">
      <w:start w:val="1"/>
      <w:numFmt w:val="bullet"/>
      <w:lvlText w:val=""/>
      <w:lvlJc w:val="left"/>
      <w:pPr>
        <w:ind w:left="1080" w:hanging="360"/>
      </w:pPr>
      <w:rPr>
        <w:rFonts w:ascii="Wingdings" w:hAnsi="Wingdings"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409C6BD8"/>
    <w:multiLevelType w:val="hybridMultilevel"/>
    <w:tmpl w:val="E3C23B82"/>
    <w:lvl w:ilvl="0" w:tplc="B4440EE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1B21D97"/>
    <w:multiLevelType w:val="hybridMultilevel"/>
    <w:tmpl w:val="CFD00B4A"/>
    <w:lvl w:ilvl="0" w:tplc="040C000B">
      <w:start w:val="1"/>
      <w:numFmt w:val="bullet"/>
      <w:lvlText w:val=""/>
      <w:lvlJc w:val="left"/>
      <w:pPr>
        <w:ind w:left="360" w:hanging="360"/>
      </w:pPr>
      <w:rPr>
        <w:rFonts w:ascii="Wingdings" w:hAnsi="Wingdings" w:hint="default"/>
      </w:rPr>
    </w:lvl>
    <w:lvl w:ilvl="1" w:tplc="040C000B">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43DA3BC7"/>
    <w:multiLevelType w:val="hybridMultilevel"/>
    <w:tmpl w:val="84FE9050"/>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44D30BCF"/>
    <w:multiLevelType w:val="hybridMultilevel"/>
    <w:tmpl w:val="C8480932"/>
    <w:lvl w:ilvl="0" w:tplc="0BEA6636">
      <w:start w:val="1"/>
      <w:numFmt w:val="bullet"/>
      <w:pStyle w:val="EnvTitreparagraphe"/>
      <w:lvlText w:val=""/>
      <w:lvlJc w:val="left"/>
      <w:pPr>
        <w:ind w:left="360" w:hanging="360"/>
      </w:pPr>
      <w:rPr>
        <w:rFonts w:ascii="Webdings" w:hAnsi="Webdings" w:hint="default"/>
        <w:color w:val="B2A1C7"/>
        <w:sz w:val="24"/>
      </w:rPr>
    </w:lvl>
    <w:lvl w:ilvl="1" w:tplc="040C0003" w:tentative="1">
      <w:start w:val="1"/>
      <w:numFmt w:val="bullet"/>
      <w:lvlText w:val="o"/>
      <w:lvlJc w:val="left"/>
      <w:pPr>
        <w:ind w:left="1080" w:hanging="360"/>
      </w:pPr>
      <w:rPr>
        <w:rFonts w:ascii="Courier New" w:hAnsi="Courier New"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Arial"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Arial"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45A763A4"/>
    <w:multiLevelType w:val="hybridMultilevel"/>
    <w:tmpl w:val="C6A6588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6B67F15"/>
    <w:multiLevelType w:val="hybridMultilevel"/>
    <w:tmpl w:val="29DEA00E"/>
    <w:lvl w:ilvl="0" w:tplc="040C0003">
      <w:start w:val="1"/>
      <w:numFmt w:val="bullet"/>
      <w:lvlText w:val="o"/>
      <w:lvlJc w:val="left"/>
      <w:pPr>
        <w:ind w:left="360" w:hanging="360"/>
      </w:pPr>
      <w:rPr>
        <w:rFonts w:ascii="Courier New" w:hAnsi="Courier New" w:cs="Courier New" w:hint="default"/>
      </w:rPr>
    </w:lvl>
    <w:lvl w:ilvl="1" w:tplc="040C0005">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475013B3"/>
    <w:multiLevelType w:val="hybridMultilevel"/>
    <w:tmpl w:val="FACC307C"/>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1" w15:restartNumberingAfterBreak="0">
    <w:nsid w:val="49A20102"/>
    <w:multiLevelType w:val="hybridMultilevel"/>
    <w:tmpl w:val="A9A0FA1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A3C1899"/>
    <w:multiLevelType w:val="hybridMultilevel"/>
    <w:tmpl w:val="B18CE53E"/>
    <w:lvl w:ilvl="0" w:tplc="040C0003">
      <w:start w:val="1"/>
      <w:numFmt w:val="bullet"/>
      <w:lvlText w:val="o"/>
      <w:lvlJc w:val="left"/>
      <w:pPr>
        <w:ind w:left="360" w:hanging="360"/>
      </w:pPr>
      <w:rPr>
        <w:rFonts w:ascii="Courier New" w:hAnsi="Courier New" w:cs="Courier New" w:hint="default"/>
      </w:rPr>
    </w:lvl>
    <w:lvl w:ilvl="1" w:tplc="040C0005">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4D3D67F1"/>
    <w:multiLevelType w:val="hybridMultilevel"/>
    <w:tmpl w:val="C26421C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0686ACC"/>
    <w:multiLevelType w:val="hybridMultilevel"/>
    <w:tmpl w:val="A07ACEE4"/>
    <w:lvl w:ilvl="0" w:tplc="C8200E44">
      <w:start w:val="1"/>
      <w:numFmt w:val="bullet"/>
      <w:pStyle w:val="EnvPartie"/>
      <w:lvlText w:val=""/>
      <w:lvlJc w:val="left"/>
      <w:pPr>
        <w:ind w:left="6315" w:hanging="360"/>
      </w:pPr>
      <w:rPr>
        <w:rFonts w:ascii="Webdings" w:hAnsi="Webdings" w:hint="default"/>
        <w:color w:val="B2A1C7"/>
        <w:sz w:val="96"/>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13350EB"/>
    <w:multiLevelType w:val="hybridMultilevel"/>
    <w:tmpl w:val="67E4263A"/>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6" w15:restartNumberingAfterBreak="0">
    <w:nsid w:val="54E33DB2"/>
    <w:multiLevelType w:val="hybridMultilevel"/>
    <w:tmpl w:val="D4A6767E"/>
    <w:lvl w:ilvl="0" w:tplc="040C0015">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591C551C"/>
    <w:multiLevelType w:val="hybridMultilevel"/>
    <w:tmpl w:val="0D62D312"/>
    <w:lvl w:ilvl="0" w:tplc="4B068CAC">
      <w:start w:val="6"/>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B5478B8"/>
    <w:multiLevelType w:val="hybridMultilevel"/>
    <w:tmpl w:val="9A345CA0"/>
    <w:lvl w:ilvl="0" w:tplc="F5CEA5A8">
      <w:start w:val="2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39" w15:restartNumberingAfterBreak="0">
    <w:nsid w:val="5D2E06EC"/>
    <w:multiLevelType w:val="hybridMultilevel"/>
    <w:tmpl w:val="824C368A"/>
    <w:lvl w:ilvl="0" w:tplc="040C0003">
      <w:start w:val="1"/>
      <w:numFmt w:val="bullet"/>
      <w:lvlText w:val="o"/>
      <w:lvlJc w:val="left"/>
      <w:pPr>
        <w:ind w:left="360" w:hanging="360"/>
      </w:pPr>
      <w:rPr>
        <w:rFonts w:ascii="Courier New" w:hAnsi="Courier New" w:cs="Courier New" w:hint="default"/>
      </w:rPr>
    </w:lvl>
    <w:lvl w:ilvl="1" w:tplc="040C0005">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5E1F0BA1"/>
    <w:multiLevelType w:val="hybridMultilevel"/>
    <w:tmpl w:val="183872FA"/>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66575B6A"/>
    <w:multiLevelType w:val="hybridMultilevel"/>
    <w:tmpl w:val="79B0E3AA"/>
    <w:lvl w:ilvl="0" w:tplc="040C0003">
      <w:start w:val="1"/>
      <w:numFmt w:val="bullet"/>
      <w:lvlText w:val="o"/>
      <w:lvlJc w:val="left"/>
      <w:pPr>
        <w:ind w:left="360" w:hanging="360"/>
      </w:pPr>
      <w:rPr>
        <w:rFonts w:ascii="Courier New" w:hAnsi="Courier New" w:cs="Courier New"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2" w15:restartNumberingAfterBreak="0">
    <w:nsid w:val="739B52E0"/>
    <w:multiLevelType w:val="hybridMultilevel"/>
    <w:tmpl w:val="2AD69B58"/>
    <w:lvl w:ilvl="0" w:tplc="CE9E388C">
      <w:start w:val="3"/>
      <w:numFmt w:val="bullet"/>
      <w:lvlText w:val=""/>
      <w:lvlJc w:val="left"/>
      <w:pPr>
        <w:ind w:left="720" w:hanging="360"/>
      </w:pPr>
      <w:rPr>
        <w:rFonts w:ascii="Wingdings" w:eastAsiaTheme="minorEastAsia"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5F6386C"/>
    <w:multiLevelType w:val="hybridMultilevel"/>
    <w:tmpl w:val="86E4721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6502D93"/>
    <w:multiLevelType w:val="hybridMultilevel"/>
    <w:tmpl w:val="4446AAE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5" w15:restartNumberingAfterBreak="0">
    <w:nsid w:val="76FD2B78"/>
    <w:multiLevelType w:val="hybridMultilevel"/>
    <w:tmpl w:val="B3463C7C"/>
    <w:lvl w:ilvl="0" w:tplc="040C0005">
      <w:start w:val="1"/>
      <w:numFmt w:val="bullet"/>
      <w:lvlText w:val=""/>
      <w:lvlJc w:val="left"/>
      <w:pPr>
        <w:ind w:left="1080" w:hanging="360"/>
      </w:pPr>
      <w:rPr>
        <w:rFonts w:ascii="Wingdings" w:hAnsi="Wingdings"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6" w15:restartNumberingAfterBreak="0">
    <w:nsid w:val="77802B2E"/>
    <w:multiLevelType w:val="hybridMultilevel"/>
    <w:tmpl w:val="9AEE3D8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7873BFD"/>
    <w:multiLevelType w:val="hybridMultilevel"/>
    <w:tmpl w:val="9EFA8634"/>
    <w:lvl w:ilvl="0" w:tplc="040C000B">
      <w:start w:val="1"/>
      <w:numFmt w:val="bullet"/>
      <w:lvlText w:val=""/>
      <w:lvlJc w:val="left"/>
      <w:pPr>
        <w:ind w:left="360" w:hanging="360"/>
      </w:pPr>
      <w:rPr>
        <w:rFonts w:ascii="Wingdings" w:hAnsi="Wingdings" w:hint="default"/>
      </w:rPr>
    </w:lvl>
    <w:lvl w:ilvl="1" w:tplc="CE9E388C">
      <w:start w:val="3"/>
      <w:numFmt w:val="bullet"/>
      <w:lvlText w:val=""/>
      <w:lvlJc w:val="left"/>
      <w:pPr>
        <w:ind w:left="1080" w:hanging="360"/>
      </w:pPr>
      <w:rPr>
        <w:rFonts w:ascii="Wingdings" w:eastAsiaTheme="minorEastAsia" w:hAnsi="Wingdings" w:cstheme="minorHAns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8" w15:restartNumberingAfterBreak="0">
    <w:nsid w:val="7A1B1FB8"/>
    <w:multiLevelType w:val="hybridMultilevel"/>
    <w:tmpl w:val="8D02189E"/>
    <w:lvl w:ilvl="0" w:tplc="1B7480CC">
      <w:start w:val="5"/>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4"/>
  </w:num>
  <w:num w:numId="2">
    <w:abstractNumId w:val="27"/>
  </w:num>
  <w:num w:numId="3">
    <w:abstractNumId w:val="38"/>
  </w:num>
  <w:num w:numId="4">
    <w:abstractNumId w:val="4"/>
  </w:num>
  <w:num w:numId="5">
    <w:abstractNumId w:val="36"/>
  </w:num>
  <w:num w:numId="6">
    <w:abstractNumId w:val="9"/>
  </w:num>
  <w:num w:numId="7">
    <w:abstractNumId w:val="24"/>
  </w:num>
  <w:num w:numId="8">
    <w:abstractNumId w:val="1"/>
  </w:num>
  <w:num w:numId="9">
    <w:abstractNumId w:val="13"/>
  </w:num>
  <w:num w:numId="10">
    <w:abstractNumId w:val="17"/>
  </w:num>
  <w:num w:numId="11">
    <w:abstractNumId w:val="48"/>
  </w:num>
  <w:num w:numId="12">
    <w:abstractNumId w:val="12"/>
  </w:num>
  <w:num w:numId="13">
    <w:abstractNumId w:val="3"/>
  </w:num>
  <w:num w:numId="14">
    <w:abstractNumId w:val="25"/>
  </w:num>
  <w:num w:numId="15">
    <w:abstractNumId w:val="47"/>
  </w:num>
  <w:num w:numId="16">
    <w:abstractNumId w:val="15"/>
  </w:num>
  <w:num w:numId="17">
    <w:abstractNumId w:val="44"/>
  </w:num>
  <w:num w:numId="18">
    <w:abstractNumId w:val="10"/>
  </w:num>
  <w:num w:numId="19">
    <w:abstractNumId w:val="43"/>
  </w:num>
  <w:num w:numId="20">
    <w:abstractNumId w:val="0"/>
  </w:num>
  <w:num w:numId="21">
    <w:abstractNumId w:val="16"/>
  </w:num>
  <w:num w:numId="22">
    <w:abstractNumId w:val="26"/>
  </w:num>
  <w:num w:numId="23">
    <w:abstractNumId w:val="5"/>
  </w:num>
  <w:num w:numId="24">
    <w:abstractNumId w:val="46"/>
  </w:num>
  <w:num w:numId="25">
    <w:abstractNumId w:val="42"/>
  </w:num>
  <w:num w:numId="26">
    <w:abstractNumId w:val="18"/>
  </w:num>
  <w:num w:numId="27">
    <w:abstractNumId w:val="6"/>
  </w:num>
  <w:num w:numId="28">
    <w:abstractNumId w:val="8"/>
  </w:num>
  <w:num w:numId="29">
    <w:abstractNumId w:val="14"/>
  </w:num>
  <w:num w:numId="30">
    <w:abstractNumId w:val="2"/>
  </w:num>
  <w:num w:numId="31">
    <w:abstractNumId w:val="35"/>
  </w:num>
  <w:num w:numId="32">
    <w:abstractNumId w:val="30"/>
  </w:num>
  <w:num w:numId="33">
    <w:abstractNumId w:val="21"/>
  </w:num>
  <w:num w:numId="34">
    <w:abstractNumId w:val="28"/>
  </w:num>
  <w:num w:numId="35">
    <w:abstractNumId w:val="22"/>
  </w:num>
  <w:num w:numId="36">
    <w:abstractNumId w:val="32"/>
  </w:num>
  <w:num w:numId="37">
    <w:abstractNumId w:val="29"/>
  </w:num>
  <w:num w:numId="38">
    <w:abstractNumId w:val="7"/>
  </w:num>
  <w:num w:numId="39">
    <w:abstractNumId w:val="41"/>
  </w:num>
  <w:num w:numId="40">
    <w:abstractNumId w:val="19"/>
  </w:num>
  <w:num w:numId="41">
    <w:abstractNumId w:val="23"/>
  </w:num>
  <w:num w:numId="42">
    <w:abstractNumId w:val="45"/>
  </w:num>
  <w:num w:numId="43">
    <w:abstractNumId w:val="20"/>
  </w:num>
  <w:num w:numId="44">
    <w:abstractNumId w:val="31"/>
  </w:num>
  <w:num w:numId="45">
    <w:abstractNumId w:val="37"/>
  </w:num>
  <w:num w:numId="46">
    <w:abstractNumId w:val="40"/>
  </w:num>
  <w:num w:numId="47">
    <w:abstractNumId w:val="11"/>
  </w:num>
  <w:num w:numId="48">
    <w:abstractNumId w:val="33"/>
  </w:num>
  <w:num w:numId="49">
    <w:abstractNumId w:val="3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D59"/>
    <w:rsid w:val="0000161C"/>
    <w:rsid w:val="0000403F"/>
    <w:rsid w:val="000071D8"/>
    <w:rsid w:val="0001598D"/>
    <w:rsid w:val="00015C21"/>
    <w:rsid w:val="00015D33"/>
    <w:rsid w:val="00030DF9"/>
    <w:rsid w:val="0003207A"/>
    <w:rsid w:val="00036388"/>
    <w:rsid w:val="00054045"/>
    <w:rsid w:val="00060A41"/>
    <w:rsid w:val="00061689"/>
    <w:rsid w:val="000646F6"/>
    <w:rsid w:val="0006527F"/>
    <w:rsid w:val="0007142D"/>
    <w:rsid w:val="0007325D"/>
    <w:rsid w:val="000749A2"/>
    <w:rsid w:val="00074C33"/>
    <w:rsid w:val="00080B5C"/>
    <w:rsid w:val="00080CF9"/>
    <w:rsid w:val="000828C1"/>
    <w:rsid w:val="0008373C"/>
    <w:rsid w:val="0009066F"/>
    <w:rsid w:val="000946CB"/>
    <w:rsid w:val="00095AD4"/>
    <w:rsid w:val="00095F69"/>
    <w:rsid w:val="00097246"/>
    <w:rsid w:val="000A40C2"/>
    <w:rsid w:val="000A6C71"/>
    <w:rsid w:val="000B1F13"/>
    <w:rsid w:val="000B2303"/>
    <w:rsid w:val="000B3A1A"/>
    <w:rsid w:val="000C0219"/>
    <w:rsid w:val="000C7158"/>
    <w:rsid w:val="000F398D"/>
    <w:rsid w:val="000F6C86"/>
    <w:rsid w:val="001164CC"/>
    <w:rsid w:val="00133D80"/>
    <w:rsid w:val="00135A07"/>
    <w:rsid w:val="00137BB6"/>
    <w:rsid w:val="00137E4E"/>
    <w:rsid w:val="001418A5"/>
    <w:rsid w:val="00142241"/>
    <w:rsid w:val="00144EDE"/>
    <w:rsid w:val="00150A74"/>
    <w:rsid w:val="00153005"/>
    <w:rsid w:val="00153849"/>
    <w:rsid w:val="00164D95"/>
    <w:rsid w:val="001701AC"/>
    <w:rsid w:val="00185A9B"/>
    <w:rsid w:val="001900B3"/>
    <w:rsid w:val="001A6367"/>
    <w:rsid w:val="001B059A"/>
    <w:rsid w:val="001B3A1E"/>
    <w:rsid w:val="001B3C66"/>
    <w:rsid w:val="001B3E46"/>
    <w:rsid w:val="001B4CED"/>
    <w:rsid w:val="001D764C"/>
    <w:rsid w:val="001E4BB1"/>
    <w:rsid w:val="001E52C0"/>
    <w:rsid w:val="001E6297"/>
    <w:rsid w:val="001E7513"/>
    <w:rsid w:val="001F22E3"/>
    <w:rsid w:val="00200901"/>
    <w:rsid w:val="0020698D"/>
    <w:rsid w:val="00211346"/>
    <w:rsid w:val="00214167"/>
    <w:rsid w:val="0021503F"/>
    <w:rsid w:val="00217069"/>
    <w:rsid w:val="002206CD"/>
    <w:rsid w:val="00221394"/>
    <w:rsid w:val="00224DD6"/>
    <w:rsid w:val="00237EEA"/>
    <w:rsid w:val="00244706"/>
    <w:rsid w:val="00245346"/>
    <w:rsid w:val="00246714"/>
    <w:rsid w:val="00257162"/>
    <w:rsid w:val="00261328"/>
    <w:rsid w:val="00261450"/>
    <w:rsid w:val="0026411D"/>
    <w:rsid w:val="00265050"/>
    <w:rsid w:val="00265895"/>
    <w:rsid w:val="002746ED"/>
    <w:rsid w:val="00282042"/>
    <w:rsid w:val="00287CBB"/>
    <w:rsid w:val="00290563"/>
    <w:rsid w:val="002917CD"/>
    <w:rsid w:val="002B1480"/>
    <w:rsid w:val="002B154C"/>
    <w:rsid w:val="002B1800"/>
    <w:rsid w:val="002B55B9"/>
    <w:rsid w:val="002B76C6"/>
    <w:rsid w:val="002C0A26"/>
    <w:rsid w:val="002C4350"/>
    <w:rsid w:val="002C717E"/>
    <w:rsid w:val="002D20A4"/>
    <w:rsid w:val="002E1599"/>
    <w:rsid w:val="002E1D59"/>
    <w:rsid w:val="002E6D9D"/>
    <w:rsid w:val="002F3CAA"/>
    <w:rsid w:val="002F6C86"/>
    <w:rsid w:val="00307CB4"/>
    <w:rsid w:val="003129AF"/>
    <w:rsid w:val="00313977"/>
    <w:rsid w:val="00315057"/>
    <w:rsid w:val="003175DA"/>
    <w:rsid w:val="00320E04"/>
    <w:rsid w:val="003210E0"/>
    <w:rsid w:val="00321B1F"/>
    <w:rsid w:val="00323FCD"/>
    <w:rsid w:val="00331853"/>
    <w:rsid w:val="0034057A"/>
    <w:rsid w:val="0036202C"/>
    <w:rsid w:val="00366B0A"/>
    <w:rsid w:val="00377F1D"/>
    <w:rsid w:val="00380A27"/>
    <w:rsid w:val="00380D4F"/>
    <w:rsid w:val="00381FBB"/>
    <w:rsid w:val="003842E6"/>
    <w:rsid w:val="00384EDF"/>
    <w:rsid w:val="00386859"/>
    <w:rsid w:val="00391BE7"/>
    <w:rsid w:val="00394ABF"/>
    <w:rsid w:val="003A5BED"/>
    <w:rsid w:val="003C25B9"/>
    <w:rsid w:val="003C5734"/>
    <w:rsid w:val="003C67F7"/>
    <w:rsid w:val="003C74CC"/>
    <w:rsid w:val="003D4EFB"/>
    <w:rsid w:val="003E66BC"/>
    <w:rsid w:val="003F019F"/>
    <w:rsid w:val="003F70AA"/>
    <w:rsid w:val="0040099C"/>
    <w:rsid w:val="004029D9"/>
    <w:rsid w:val="00404665"/>
    <w:rsid w:val="004062B7"/>
    <w:rsid w:val="0041473A"/>
    <w:rsid w:val="00417367"/>
    <w:rsid w:val="004320C8"/>
    <w:rsid w:val="00434D52"/>
    <w:rsid w:val="0043515B"/>
    <w:rsid w:val="00435E8B"/>
    <w:rsid w:val="00443A50"/>
    <w:rsid w:val="00452317"/>
    <w:rsid w:val="00455B8C"/>
    <w:rsid w:val="0046533A"/>
    <w:rsid w:val="00481FD4"/>
    <w:rsid w:val="00490D45"/>
    <w:rsid w:val="00497E4E"/>
    <w:rsid w:val="004A59D9"/>
    <w:rsid w:val="004A6F38"/>
    <w:rsid w:val="004A6F83"/>
    <w:rsid w:val="004B0B8C"/>
    <w:rsid w:val="004B4A27"/>
    <w:rsid w:val="004C0233"/>
    <w:rsid w:val="004C3F1E"/>
    <w:rsid w:val="004C68F8"/>
    <w:rsid w:val="004C6C42"/>
    <w:rsid w:val="004D0273"/>
    <w:rsid w:val="004D4D6F"/>
    <w:rsid w:val="004E4A59"/>
    <w:rsid w:val="004E5D99"/>
    <w:rsid w:val="004E793B"/>
    <w:rsid w:val="00501C19"/>
    <w:rsid w:val="00511CA7"/>
    <w:rsid w:val="00512A4F"/>
    <w:rsid w:val="00514CD0"/>
    <w:rsid w:val="005162C4"/>
    <w:rsid w:val="00524268"/>
    <w:rsid w:val="00524582"/>
    <w:rsid w:val="005373FD"/>
    <w:rsid w:val="0054115A"/>
    <w:rsid w:val="00542C57"/>
    <w:rsid w:val="005444A9"/>
    <w:rsid w:val="00544DFF"/>
    <w:rsid w:val="0056047F"/>
    <w:rsid w:val="00561F07"/>
    <w:rsid w:val="00562ED4"/>
    <w:rsid w:val="005651B3"/>
    <w:rsid w:val="0058271D"/>
    <w:rsid w:val="00583C8A"/>
    <w:rsid w:val="00590E6D"/>
    <w:rsid w:val="00595805"/>
    <w:rsid w:val="00597A0A"/>
    <w:rsid w:val="005A0D8A"/>
    <w:rsid w:val="005A1907"/>
    <w:rsid w:val="005A5CB7"/>
    <w:rsid w:val="005A75C2"/>
    <w:rsid w:val="005B0417"/>
    <w:rsid w:val="005B059D"/>
    <w:rsid w:val="005B67AC"/>
    <w:rsid w:val="005D1DC4"/>
    <w:rsid w:val="005D1FC2"/>
    <w:rsid w:val="005E31E0"/>
    <w:rsid w:val="005E7630"/>
    <w:rsid w:val="005E7FFB"/>
    <w:rsid w:val="005F2149"/>
    <w:rsid w:val="005F3238"/>
    <w:rsid w:val="005F7D2C"/>
    <w:rsid w:val="006112D3"/>
    <w:rsid w:val="006117E1"/>
    <w:rsid w:val="00611ED3"/>
    <w:rsid w:val="00615584"/>
    <w:rsid w:val="00616617"/>
    <w:rsid w:val="00623650"/>
    <w:rsid w:val="00624125"/>
    <w:rsid w:val="00625425"/>
    <w:rsid w:val="00625478"/>
    <w:rsid w:val="00633E12"/>
    <w:rsid w:val="0063687F"/>
    <w:rsid w:val="006414DC"/>
    <w:rsid w:val="00645AE3"/>
    <w:rsid w:val="0064769C"/>
    <w:rsid w:val="00650484"/>
    <w:rsid w:val="00654747"/>
    <w:rsid w:val="00661A59"/>
    <w:rsid w:val="006645A2"/>
    <w:rsid w:val="00665143"/>
    <w:rsid w:val="00665846"/>
    <w:rsid w:val="006661DD"/>
    <w:rsid w:val="006674D5"/>
    <w:rsid w:val="00667F3B"/>
    <w:rsid w:val="0067192E"/>
    <w:rsid w:val="00673B23"/>
    <w:rsid w:val="00675564"/>
    <w:rsid w:val="006770BA"/>
    <w:rsid w:val="00677196"/>
    <w:rsid w:val="006820F5"/>
    <w:rsid w:val="006976F9"/>
    <w:rsid w:val="006A057E"/>
    <w:rsid w:val="006A23F6"/>
    <w:rsid w:val="006A285B"/>
    <w:rsid w:val="006A6D5C"/>
    <w:rsid w:val="006A7CE4"/>
    <w:rsid w:val="006B1C67"/>
    <w:rsid w:val="006B2AB0"/>
    <w:rsid w:val="006B46AD"/>
    <w:rsid w:val="006B6439"/>
    <w:rsid w:val="006C61A8"/>
    <w:rsid w:val="006D0BB1"/>
    <w:rsid w:val="006D31FC"/>
    <w:rsid w:val="006D586B"/>
    <w:rsid w:val="006D73FF"/>
    <w:rsid w:val="006F2036"/>
    <w:rsid w:val="006F330B"/>
    <w:rsid w:val="006F47E7"/>
    <w:rsid w:val="006F6BE6"/>
    <w:rsid w:val="007000FA"/>
    <w:rsid w:val="00701B60"/>
    <w:rsid w:val="007026EB"/>
    <w:rsid w:val="00703582"/>
    <w:rsid w:val="00710862"/>
    <w:rsid w:val="007224BC"/>
    <w:rsid w:val="00726F31"/>
    <w:rsid w:val="007274C6"/>
    <w:rsid w:val="007338A4"/>
    <w:rsid w:val="007369AA"/>
    <w:rsid w:val="00740A12"/>
    <w:rsid w:val="00743F4A"/>
    <w:rsid w:val="00746DC0"/>
    <w:rsid w:val="00746E1C"/>
    <w:rsid w:val="00746FEE"/>
    <w:rsid w:val="00750493"/>
    <w:rsid w:val="007548EA"/>
    <w:rsid w:val="007700DC"/>
    <w:rsid w:val="007707C8"/>
    <w:rsid w:val="00774BAA"/>
    <w:rsid w:val="00792D54"/>
    <w:rsid w:val="007958F0"/>
    <w:rsid w:val="007959F4"/>
    <w:rsid w:val="007A1DFB"/>
    <w:rsid w:val="007A7486"/>
    <w:rsid w:val="007B07CE"/>
    <w:rsid w:val="007C1BDB"/>
    <w:rsid w:val="007D4C69"/>
    <w:rsid w:val="007E0B62"/>
    <w:rsid w:val="007E6AF0"/>
    <w:rsid w:val="007F0CF3"/>
    <w:rsid w:val="007F0D21"/>
    <w:rsid w:val="007F786B"/>
    <w:rsid w:val="00803F95"/>
    <w:rsid w:val="00804640"/>
    <w:rsid w:val="00817072"/>
    <w:rsid w:val="00820D73"/>
    <w:rsid w:val="00821E53"/>
    <w:rsid w:val="0082369D"/>
    <w:rsid w:val="00823F66"/>
    <w:rsid w:val="0083669E"/>
    <w:rsid w:val="00843125"/>
    <w:rsid w:val="008506F5"/>
    <w:rsid w:val="00863E02"/>
    <w:rsid w:val="008644A6"/>
    <w:rsid w:val="00876775"/>
    <w:rsid w:val="00876E5F"/>
    <w:rsid w:val="008865BE"/>
    <w:rsid w:val="0089272A"/>
    <w:rsid w:val="0089455F"/>
    <w:rsid w:val="00895A20"/>
    <w:rsid w:val="008977B6"/>
    <w:rsid w:val="008A50F0"/>
    <w:rsid w:val="008A620E"/>
    <w:rsid w:val="008A701B"/>
    <w:rsid w:val="008B4D9C"/>
    <w:rsid w:val="008B6AFD"/>
    <w:rsid w:val="008B782A"/>
    <w:rsid w:val="008C25B4"/>
    <w:rsid w:val="008D2B06"/>
    <w:rsid w:val="008D37AB"/>
    <w:rsid w:val="008D383B"/>
    <w:rsid w:val="008D5122"/>
    <w:rsid w:val="008E291E"/>
    <w:rsid w:val="008E3945"/>
    <w:rsid w:val="008E5A91"/>
    <w:rsid w:val="008F1784"/>
    <w:rsid w:val="008F1ED2"/>
    <w:rsid w:val="00907E68"/>
    <w:rsid w:val="00914104"/>
    <w:rsid w:val="00916641"/>
    <w:rsid w:val="00917E38"/>
    <w:rsid w:val="00920A8F"/>
    <w:rsid w:val="00922E0E"/>
    <w:rsid w:val="00932244"/>
    <w:rsid w:val="009421A5"/>
    <w:rsid w:val="0094604C"/>
    <w:rsid w:val="0095741A"/>
    <w:rsid w:val="00957F6A"/>
    <w:rsid w:val="00961464"/>
    <w:rsid w:val="0096173F"/>
    <w:rsid w:val="00962EAB"/>
    <w:rsid w:val="00963CAF"/>
    <w:rsid w:val="00964056"/>
    <w:rsid w:val="00974E83"/>
    <w:rsid w:val="009841B5"/>
    <w:rsid w:val="009847BE"/>
    <w:rsid w:val="00996B23"/>
    <w:rsid w:val="009972A2"/>
    <w:rsid w:val="009A174F"/>
    <w:rsid w:val="009A24AF"/>
    <w:rsid w:val="009A6EA3"/>
    <w:rsid w:val="009B2B96"/>
    <w:rsid w:val="009B3C91"/>
    <w:rsid w:val="009C4960"/>
    <w:rsid w:val="009C7144"/>
    <w:rsid w:val="009D1179"/>
    <w:rsid w:val="009D40B0"/>
    <w:rsid w:val="009D4F34"/>
    <w:rsid w:val="009E185E"/>
    <w:rsid w:val="009E31B7"/>
    <w:rsid w:val="009E7AFC"/>
    <w:rsid w:val="009F0AF2"/>
    <w:rsid w:val="009F4FEA"/>
    <w:rsid w:val="009F63A0"/>
    <w:rsid w:val="009F6631"/>
    <w:rsid w:val="00A02731"/>
    <w:rsid w:val="00A03283"/>
    <w:rsid w:val="00A0353A"/>
    <w:rsid w:val="00A03EB3"/>
    <w:rsid w:val="00A07190"/>
    <w:rsid w:val="00A07833"/>
    <w:rsid w:val="00A12018"/>
    <w:rsid w:val="00A122DD"/>
    <w:rsid w:val="00A141B5"/>
    <w:rsid w:val="00A14C3B"/>
    <w:rsid w:val="00A14E62"/>
    <w:rsid w:val="00A17191"/>
    <w:rsid w:val="00A22C98"/>
    <w:rsid w:val="00A37031"/>
    <w:rsid w:val="00A40A84"/>
    <w:rsid w:val="00A5155C"/>
    <w:rsid w:val="00A53F15"/>
    <w:rsid w:val="00A544B2"/>
    <w:rsid w:val="00A5476B"/>
    <w:rsid w:val="00A56467"/>
    <w:rsid w:val="00A60FAB"/>
    <w:rsid w:val="00A6610E"/>
    <w:rsid w:val="00A70429"/>
    <w:rsid w:val="00A72395"/>
    <w:rsid w:val="00A73585"/>
    <w:rsid w:val="00A73E2D"/>
    <w:rsid w:val="00A84273"/>
    <w:rsid w:val="00A87605"/>
    <w:rsid w:val="00A907F5"/>
    <w:rsid w:val="00A91B06"/>
    <w:rsid w:val="00A92A63"/>
    <w:rsid w:val="00A9474A"/>
    <w:rsid w:val="00A97D20"/>
    <w:rsid w:val="00AA3CD4"/>
    <w:rsid w:val="00AA4B4D"/>
    <w:rsid w:val="00AA4E54"/>
    <w:rsid w:val="00AB60CB"/>
    <w:rsid w:val="00AC2960"/>
    <w:rsid w:val="00AC2FDA"/>
    <w:rsid w:val="00AC4C53"/>
    <w:rsid w:val="00AC5393"/>
    <w:rsid w:val="00AD4767"/>
    <w:rsid w:val="00AD6081"/>
    <w:rsid w:val="00AD6F0A"/>
    <w:rsid w:val="00AF14BA"/>
    <w:rsid w:val="00B00863"/>
    <w:rsid w:val="00B02817"/>
    <w:rsid w:val="00B0355B"/>
    <w:rsid w:val="00B06701"/>
    <w:rsid w:val="00B07D31"/>
    <w:rsid w:val="00B1183F"/>
    <w:rsid w:val="00B12C3D"/>
    <w:rsid w:val="00B12EB8"/>
    <w:rsid w:val="00B14D06"/>
    <w:rsid w:val="00B17F7A"/>
    <w:rsid w:val="00B2005C"/>
    <w:rsid w:val="00B20B1F"/>
    <w:rsid w:val="00B249BE"/>
    <w:rsid w:val="00B261D2"/>
    <w:rsid w:val="00B26269"/>
    <w:rsid w:val="00B27DC1"/>
    <w:rsid w:val="00B353BD"/>
    <w:rsid w:val="00B404FD"/>
    <w:rsid w:val="00B4315D"/>
    <w:rsid w:val="00B5386F"/>
    <w:rsid w:val="00B60514"/>
    <w:rsid w:val="00B63B43"/>
    <w:rsid w:val="00B64A41"/>
    <w:rsid w:val="00B64F32"/>
    <w:rsid w:val="00B65059"/>
    <w:rsid w:val="00B65F4B"/>
    <w:rsid w:val="00B66959"/>
    <w:rsid w:val="00B66C5B"/>
    <w:rsid w:val="00B734E3"/>
    <w:rsid w:val="00B739D3"/>
    <w:rsid w:val="00B74137"/>
    <w:rsid w:val="00B87366"/>
    <w:rsid w:val="00B87772"/>
    <w:rsid w:val="00B91268"/>
    <w:rsid w:val="00B91336"/>
    <w:rsid w:val="00BA1A91"/>
    <w:rsid w:val="00BA37D9"/>
    <w:rsid w:val="00BA56F7"/>
    <w:rsid w:val="00BA58BA"/>
    <w:rsid w:val="00BA6E08"/>
    <w:rsid w:val="00BB38C1"/>
    <w:rsid w:val="00BB5B03"/>
    <w:rsid w:val="00BC285C"/>
    <w:rsid w:val="00BC3136"/>
    <w:rsid w:val="00BC6F9D"/>
    <w:rsid w:val="00BC7130"/>
    <w:rsid w:val="00BD497B"/>
    <w:rsid w:val="00BE1F07"/>
    <w:rsid w:val="00BE3C51"/>
    <w:rsid w:val="00BF59BB"/>
    <w:rsid w:val="00BF64A8"/>
    <w:rsid w:val="00C035DA"/>
    <w:rsid w:val="00C14F29"/>
    <w:rsid w:val="00C1542C"/>
    <w:rsid w:val="00C16D62"/>
    <w:rsid w:val="00C20A9D"/>
    <w:rsid w:val="00C23B90"/>
    <w:rsid w:val="00C23DA1"/>
    <w:rsid w:val="00C24537"/>
    <w:rsid w:val="00C27B6D"/>
    <w:rsid w:val="00C3169B"/>
    <w:rsid w:val="00C31B43"/>
    <w:rsid w:val="00C33077"/>
    <w:rsid w:val="00C338D3"/>
    <w:rsid w:val="00C35EEB"/>
    <w:rsid w:val="00C36F2A"/>
    <w:rsid w:val="00C418F5"/>
    <w:rsid w:val="00C42669"/>
    <w:rsid w:val="00C432E5"/>
    <w:rsid w:val="00C44601"/>
    <w:rsid w:val="00C510DA"/>
    <w:rsid w:val="00C53DDA"/>
    <w:rsid w:val="00C5711A"/>
    <w:rsid w:val="00C62711"/>
    <w:rsid w:val="00C6564C"/>
    <w:rsid w:val="00C77367"/>
    <w:rsid w:val="00C84DCF"/>
    <w:rsid w:val="00C91230"/>
    <w:rsid w:val="00C95D4F"/>
    <w:rsid w:val="00C97B0A"/>
    <w:rsid w:val="00CA0542"/>
    <w:rsid w:val="00CA480D"/>
    <w:rsid w:val="00CA778D"/>
    <w:rsid w:val="00CB2700"/>
    <w:rsid w:val="00CB323A"/>
    <w:rsid w:val="00CB4AB3"/>
    <w:rsid w:val="00CB595F"/>
    <w:rsid w:val="00CC06A2"/>
    <w:rsid w:val="00CC1111"/>
    <w:rsid w:val="00CC4195"/>
    <w:rsid w:val="00CC6522"/>
    <w:rsid w:val="00CD302A"/>
    <w:rsid w:val="00CD5C19"/>
    <w:rsid w:val="00CD61E3"/>
    <w:rsid w:val="00CD77ED"/>
    <w:rsid w:val="00CD7A02"/>
    <w:rsid w:val="00CE1F7A"/>
    <w:rsid w:val="00CE2100"/>
    <w:rsid w:val="00CE359B"/>
    <w:rsid w:val="00CE42FB"/>
    <w:rsid w:val="00CE497E"/>
    <w:rsid w:val="00CF117B"/>
    <w:rsid w:val="00CF1B7B"/>
    <w:rsid w:val="00CF3292"/>
    <w:rsid w:val="00D14177"/>
    <w:rsid w:val="00D178EB"/>
    <w:rsid w:val="00D17D2B"/>
    <w:rsid w:val="00D24410"/>
    <w:rsid w:val="00D24EA3"/>
    <w:rsid w:val="00D36008"/>
    <w:rsid w:val="00D46ACD"/>
    <w:rsid w:val="00D5607D"/>
    <w:rsid w:val="00D6056F"/>
    <w:rsid w:val="00D63C89"/>
    <w:rsid w:val="00D6473E"/>
    <w:rsid w:val="00D66086"/>
    <w:rsid w:val="00D72158"/>
    <w:rsid w:val="00D7340F"/>
    <w:rsid w:val="00D74111"/>
    <w:rsid w:val="00D75286"/>
    <w:rsid w:val="00D75823"/>
    <w:rsid w:val="00D80137"/>
    <w:rsid w:val="00D85CDF"/>
    <w:rsid w:val="00D90392"/>
    <w:rsid w:val="00D9187B"/>
    <w:rsid w:val="00D949F7"/>
    <w:rsid w:val="00DA247E"/>
    <w:rsid w:val="00DA4808"/>
    <w:rsid w:val="00DA78C6"/>
    <w:rsid w:val="00DC0069"/>
    <w:rsid w:val="00DC023B"/>
    <w:rsid w:val="00DC3BC8"/>
    <w:rsid w:val="00DC542D"/>
    <w:rsid w:val="00DC5711"/>
    <w:rsid w:val="00DE5CD8"/>
    <w:rsid w:val="00DF0812"/>
    <w:rsid w:val="00DF5898"/>
    <w:rsid w:val="00DF58C5"/>
    <w:rsid w:val="00DF5D3D"/>
    <w:rsid w:val="00DF7487"/>
    <w:rsid w:val="00E06913"/>
    <w:rsid w:val="00E06D6D"/>
    <w:rsid w:val="00E10377"/>
    <w:rsid w:val="00E11596"/>
    <w:rsid w:val="00E154C2"/>
    <w:rsid w:val="00E154EC"/>
    <w:rsid w:val="00E16FB6"/>
    <w:rsid w:val="00E20D62"/>
    <w:rsid w:val="00E23285"/>
    <w:rsid w:val="00E26A02"/>
    <w:rsid w:val="00E27266"/>
    <w:rsid w:val="00E3188C"/>
    <w:rsid w:val="00E33441"/>
    <w:rsid w:val="00E37DDA"/>
    <w:rsid w:val="00E4313F"/>
    <w:rsid w:val="00E46991"/>
    <w:rsid w:val="00E53559"/>
    <w:rsid w:val="00E60CD8"/>
    <w:rsid w:val="00E60E36"/>
    <w:rsid w:val="00E60EA8"/>
    <w:rsid w:val="00E67ABD"/>
    <w:rsid w:val="00E72A09"/>
    <w:rsid w:val="00E75000"/>
    <w:rsid w:val="00E7774D"/>
    <w:rsid w:val="00E8110B"/>
    <w:rsid w:val="00E81713"/>
    <w:rsid w:val="00E8180F"/>
    <w:rsid w:val="00E81B73"/>
    <w:rsid w:val="00E85888"/>
    <w:rsid w:val="00E97B86"/>
    <w:rsid w:val="00EB0700"/>
    <w:rsid w:val="00EC1DEA"/>
    <w:rsid w:val="00ED1F30"/>
    <w:rsid w:val="00ED422C"/>
    <w:rsid w:val="00ED4A3F"/>
    <w:rsid w:val="00ED5CD3"/>
    <w:rsid w:val="00EE71F5"/>
    <w:rsid w:val="00EF3408"/>
    <w:rsid w:val="00EF4953"/>
    <w:rsid w:val="00EF4C59"/>
    <w:rsid w:val="00EF76E1"/>
    <w:rsid w:val="00F128D5"/>
    <w:rsid w:val="00F14410"/>
    <w:rsid w:val="00F16DFB"/>
    <w:rsid w:val="00F17B39"/>
    <w:rsid w:val="00F25172"/>
    <w:rsid w:val="00F31095"/>
    <w:rsid w:val="00F31770"/>
    <w:rsid w:val="00F34B35"/>
    <w:rsid w:val="00F43F4E"/>
    <w:rsid w:val="00F456B1"/>
    <w:rsid w:val="00F456C5"/>
    <w:rsid w:val="00F46A9B"/>
    <w:rsid w:val="00F5401C"/>
    <w:rsid w:val="00F54CA5"/>
    <w:rsid w:val="00F63C17"/>
    <w:rsid w:val="00F64EC9"/>
    <w:rsid w:val="00F659D1"/>
    <w:rsid w:val="00F66A8D"/>
    <w:rsid w:val="00F71B25"/>
    <w:rsid w:val="00F8195F"/>
    <w:rsid w:val="00F90EF2"/>
    <w:rsid w:val="00F91756"/>
    <w:rsid w:val="00F92E08"/>
    <w:rsid w:val="00FA1BF9"/>
    <w:rsid w:val="00FA462C"/>
    <w:rsid w:val="00FA53B9"/>
    <w:rsid w:val="00FB27F1"/>
    <w:rsid w:val="00FB2F83"/>
    <w:rsid w:val="00FB6F40"/>
    <w:rsid w:val="00FD0E71"/>
    <w:rsid w:val="00FD228E"/>
    <w:rsid w:val="00FD4EEB"/>
    <w:rsid w:val="00FE1FCE"/>
    <w:rsid w:val="00FE414A"/>
    <w:rsid w:val="00FE5B25"/>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CEC78A1"/>
  <w15:docId w15:val="{244FE3A8-EFA2-004D-BE59-C88E45DF3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EastAsia" w:hAnsiTheme="majorHAnsi" w:cstheme="minorBidi"/>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17B"/>
  </w:style>
  <w:style w:type="paragraph" w:styleId="Titre1">
    <w:name w:val="heading 1"/>
    <w:basedOn w:val="Normal"/>
    <w:next w:val="Normal"/>
    <w:link w:val="Titre1Car"/>
    <w:uiPriority w:val="9"/>
    <w:qFormat/>
    <w:rsid w:val="005A75C2"/>
    <w:pPr>
      <w:shd w:val="clear" w:color="auto" w:fill="E5DFEC" w:themeFill="accent4" w:themeFillTint="33"/>
      <w:spacing w:before="360"/>
      <w:ind w:left="360"/>
      <w:jc w:val="both"/>
      <w:outlineLvl w:val="0"/>
    </w:pPr>
    <w:rPr>
      <w:rFonts w:asciiTheme="minorHAnsi" w:hAnsiTheme="minorHAnsi" w:cs="Times New Roman (Corps CS)"/>
      <w:b/>
      <w:color w:val="5F497A" w:themeColor="accent4" w:themeShade="BF"/>
    </w:rPr>
  </w:style>
  <w:style w:type="paragraph" w:styleId="Titre2">
    <w:name w:val="heading 2"/>
    <w:basedOn w:val="Normal"/>
    <w:next w:val="Normal"/>
    <w:link w:val="Titre2Car"/>
    <w:uiPriority w:val="9"/>
    <w:unhideWhenUsed/>
    <w:qFormat/>
    <w:rsid w:val="00321B1F"/>
    <w:pPr>
      <w:keepNext/>
      <w:keepLines/>
      <w:numPr>
        <w:numId w:val="23"/>
      </w:numPr>
      <w:spacing w:before="240" w:after="120"/>
      <w:ind w:left="1066" w:hanging="357"/>
      <w:outlineLvl w:val="1"/>
    </w:pPr>
    <w:rPr>
      <w:rFonts w:eastAsiaTheme="majorEastAsia" w:cstheme="majorBidi"/>
      <w:b/>
      <w:i/>
      <w:color w:val="5F497A" w:themeColor="accent4" w:themeShade="BF"/>
      <w:sz w:val="24"/>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D764C"/>
    <w:pPr>
      <w:ind w:left="720"/>
      <w:contextualSpacing/>
    </w:pPr>
  </w:style>
  <w:style w:type="paragraph" w:styleId="En-tte">
    <w:name w:val="header"/>
    <w:basedOn w:val="Normal"/>
    <w:link w:val="En-tteCar"/>
    <w:uiPriority w:val="99"/>
    <w:unhideWhenUsed/>
    <w:rsid w:val="009E185E"/>
    <w:pPr>
      <w:tabs>
        <w:tab w:val="center" w:pos="4536"/>
        <w:tab w:val="right" w:pos="9072"/>
      </w:tabs>
    </w:pPr>
  </w:style>
  <w:style w:type="character" w:customStyle="1" w:styleId="En-tteCar">
    <w:name w:val="En-tête Car"/>
    <w:basedOn w:val="Policepardfaut"/>
    <w:link w:val="En-tte"/>
    <w:uiPriority w:val="99"/>
    <w:rsid w:val="009E185E"/>
  </w:style>
  <w:style w:type="paragraph" w:styleId="Pieddepage">
    <w:name w:val="footer"/>
    <w:basedOn w:val="Normal"/>
    <w:link w:val="PieddepageCar"/>
    <w:uiPriority w:val="99"/>
    <w:unhideWhenUsed/>
    <w:rsid w:val="009E185E"/>
    <w:pPr>
      <w:tabs>
        <w:tab w:val="center" w:pos="4536"/>
        <w:tab w:val="right" w:pos="9072"/>
      </w:tabs>
    </w:pPr>
  </w:style>
  <w:style w:type="character" w:customStyle="1" w:styleId="PieddepageCar">
    <w:name w:val="Pied de page Car"/>
    <w:basedOn w:val="Policepardfaut"/>
    <w:link w:val="Pieddepage"/>
    <w:uiPriority w:val="99"/>
    <w:rsid w:val="009E185E"/>
  </w:style>
  <w:style w:type="paragraph" w:styleId="Textedebulles">
    <w:name w:val="Balloon Text"/>
    <w:basedOn w:val="Normal"/>
    <w:link w:val="TextedebullesCar"/>
    <w:uiPriority w:val="99"/>
    <w:semiHidden/>
    <w:unhideWhenUsed/>
    <w:rsid w:val="009E185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E185E"/>
    <w:rPr>
      <w:rFonts w:ascii="Lucida Grande" w:hAnsi="Lucida Grande" w:cs="Lucida Grande"/>
      <w:sz w:val="18"/>
      <w:szCs w:val="18"/>
    </w:rPr>
  </w:style>
  <w:style w:type="paragraph" w:customStyle="1" w:styleId="EnvPartie">
    <w:name w:val="Env_Partie"/>
    <w:basedOn w:val="Normal"/>
    <w:link w:val="EnvPartieCar"/>
    <w:qFormat/>
    <w:rsid w:val="0046533A"/>
    <w:pPr>
      <w:numPr>
        <w:numId w:val="1"/>
      </w:numPr>
      <w:pBdr>
        <w:bottom w:val="single" w:sz="24" w:space="1" w:color="B2A1C7"/>
      </w:pBdr>
      <w:autoSpaceDE w:val="0"/>
      <w:autoSpaceDN w:val="0"/>
      <w:adjustRightInd w:val="0"/>
      <w:spacing w:before="1320"/>
      <w:jc w:val="right"/>
      <w:outlineLvl w:val="0"/>
    </w:pPr>
    <w:rPr>
      <w:rFonts w:ascii="Calibri" w:eastAsia="Times New Roman" w:hAnsi="Calibri" w:cs="Arial"/>
      <w:color w:val="403152"/>
      <w:sz w:val="96"/>
      <w:szCs w:val="96"/>
      <w:shd w:val="clear" w:color="auto" w:fill="E5DFEC"/>
    </w:rPr>
  </w:style>
  <w:style w:type="character" w:customStyle="1" w:styleId="EnvPartieCar">
    <w:name w:val="Env_Partie Car"/>
    <w:basedOn w:val="Policepardfaut"/>
    <w:link w:val="EnvPartie"/>
    <w:rsid w:val="0046533A"/>
    <w:rPr>
      <w:rFonts w:ascii="Calibri" w:eastAsia="Times New Roman" w:hAnsi="Calibri" w:cs="Arial"/>
      <w:color w:val="403152"/>
      <w:sz w:val="96"/>
      <w:szCs w:val="96"/>
    </w:rPr>
  </w:style>
  <w:style w:type="paragraph" w:customStyle="1" w:styleId="EnvTitreparagraphe">
    <w:name w:val="Env_Titre paragraphe"/>
    <w:basedOn w:val="Normal"/>
    <w:link w:val="EnvTitreparagrapheCar"/>
    <w:qFormat/>
    <w:rsid w:val="0046533A"/>
    <w:pPr>
      <w:numPr>
        <w:numId w:val="2"/>
      </w:numPr>
      <w:spacing w:before="360" w:after="240"/>
      <w:jc w:val="both"/>
    </w:pPr>
    <w:rPr>
      <w:rFonts w:ascii="Calibri" w:eastAsia="Times New Roman" w:hAnsi="Calibri" w:cs="Times New Roman"/>
      <w:b/>
      <w:color w:val="403152"/>
    </w:rPr>
  </w:style>
  <w:style w:type="character" w:customStyle="1" w:styleId="EnvTitreparagrapheCar">
    <w:name w:val="Env_Titre paragraphe Car"/>
    <w:basedOn w:val="Policepardfaut"/>
    <w:link w:val="EnvTitreparagraphe"/>
    <w:rsid w:val="0046533A"/>
    <w:rPr>
      <w:rFonts w:ascii="Calibri" w:eastAsia="Times New Roman" w:hAnsi="Calibri" w:cs="Times New Roman"/>
      <w:b/>
      <w:color w:val="403152"/>
    </w:rPr>
  </w:style>
  <w:style w:type="table" w:styleId="Grilledutableau">
    <w:name w:val="Table Grid"/>
    <w:basedOn w:val="TableauNormal"/>
    <w:uiPriority w:val="59"/>
    <w:rsid w:val="00080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E06D6D"/>
  </w:style>
  <w:style w:type="character" w:styleId="Lienhypertexte">
    <w:name w:val="Hyperlink"/>
    <w:basedOn w:val="Policepardfaut"/>
    <w:uiPriority w:val="99"/>
    <w:unhideWhenUsed/>
    <w:rsid w:val="008A620E"/>
    <w:rPr>
      <w:color w:val="0000FF" w:themeColor="hyperlink"/>
      <w:u w:val="single"/>
    </w:rPr>
  </w:style>
  <w:style w:type="paragraph" w:styleId="Titre">
    <w:name w:val="Title"/>
    <w:basedOn w:val="EnvPartie"/>
    <w:next w:val="Normal"/>
    <w:link w:val="TitreCar"/>
    <w:uiPriority w:val="10"/>
    <w:qFormat/>
    <w:rsid w:val="00BA1A91"/>
    <w:pPr>
      <w:numPr>
        <w:numId w:val="0"/>
      </w:numPr>
      <w:pBdr>
        <w:bottom w:val="single" w:sz="12" w:space="1" w:color="B2A1C7"/>
      </w:pBdr>
      <w:spacing w:before="120" w:after="120"/>
      <w:ind w:left="425"/>
      <w:jc w:val="center"/>
    </w:pPr>
    <w:rPr>
      <w:rFonts w:ascii="Trajan Pro" w:hAnsi="Trajan Pro"/>
      <w:smallCaps/>
      <w:sz w:val="32"/>
      <w:szCs w:val="32"/>
      <w:shd w:val="clear" w:color="auto" w:fill="auto"/>
    </w:rPr>
  </w:style>
  <w:style w:type="character" w:customStyle="1" w:styleId="TitreCar">
    <w:name w:val="Titre Car"/>
    <w:basedOn w:val="Policepardfaut"/>
    <w:link w:val="Titre"/>
    <w:uiPriority w:val="10"/>
    <w:rsid w:val="00BA1A91"/>
    <w:rPr>
      <w:rFonts w:ascii="Trajan Pro" w:eastAsia="Times New Roman" w:hAnsi="Trajan Pro" w:cs="Arial"/>
      <w:smallCaps/>
      <w:color w:val="403152"/>
      <w:sz w:val="32"/>
      <w:szCs w:val="32"/>
    </w:rPr>
  </w:style>
  <w:style w:type="character" w:customStyle="1" w:styleId="Titre1Car">
    <w:name w:val="Titre 1 Car"/>
    <w:basedOn w:val="Policepardfaut"/>
    <w:link w:val="Titre1"/>
    <w:uiPriority w:val="9"/>
    <w:rsid w:val="005A75C2"/>
    <w:rPr>
      <w:rFonts w:asciiTheme="minorHAnsi" w:hAnsiTheme="minorHAnsi" w:cs="Times New Roman (Corps CS)"/>
      <w:b/>
      <w:color w:val="5F497A" w:themeColor="accent4" w:themeShade="BF"/>
      <w:shd w:val="clear" w:color="auto" w:fill="E5DFEC" w:themeFill="accent4" w:themeFillTint="33"/>
    </w:rPr>
  </w:style>
  <w:style w:type="paragraph" w:styleId="Sansinterligne">
    <w:name w:val="No Spacing"/>
    <w:uiPriority w:val="1"/>
    <w:qFormat/>
    <w:rsid w:val="007B07CE"/>
  </w:style>
  <w:style w:type="character" w:customStyle="1" w:styleId="Mentionnonrsolue1">
    <w:name w:val="Mention non résolue1"/>
    <w:basedOn w:val="Policepardfaut"/>
    <w:uiPriority w:val="99"/>
    <w:semiHidden/>
    <w:unhideWhenUsed/>
    <w:rsid w:val="00ED422C"/>
    <w:rPr>
      <w:color w:val="605E5C"/>
      <w:shd w:val="clear" w:color="auto" w:fill="E1DFDD"/>
    </w:rPr>
  </w:style>
  <w:style w:type="character" w:styleId="Marquedecommentaire">
    <w:name w:val="annotation reference"/>
    <w:basedOn w:val="Policepardfaut"/>
    <w:uiPriority w:val="99"/>
    <w:semiHidden/>
    <w:unhideWhenUsed/>
    <w:rsid w:val="005E31E0"/>
    <w:rPr>
      <w:sz w:val="16"/>
      <w:szCs w:val="16"/>
    </w:rPr>
  </w:style>
  <w:style w:type="paragraph" w:styleId="Commentaire">
    <w:name w:val="annotation text"/>
    <w:basedOn w:val="Normal"/>
    <w:link w:val="CommentaireCar"/>
    <w:uiPriority w:val="99"/>
    <w:semiHidden/>
    <w:unhideWhenUsed/>
    <w:rsid w:val="005E31E0"/>
    <w:rPr>
      <w:sz w:val="20"/>
      <w:szCs w:val="20"/>
    </w:rPr>
  </w:style>
  <w:style w:type="character" w:customStyle="1" w:styleId="CommentaireCar">
    <w:name w:val="Commentaire Car"/>
    <w:basedOn w:val="Policepardfaut"/>
    <w:link w:val="Commentaire"/>
    <w:uiPriority w:val="99"/>
    <w:semiHidden/>
    <w:rsid w:val="005E31E0"/>
    <w:rPr>
      <w:sz w:val="20"/>
      <w:szCs w:val="20"/>
    </w:rPr>
  </w:style>
  <w:style w:type="paragraph" w:styleId="Objetducommentaire">
    <w:name w:val="annotation subject"/>
    <w:basedOn w:val="Commentaire"/>
    <w:next w:val="Commentaire"/>
    <w:link w:val="ObjetducommentaireCar"/>
    <w:uiPriority w:val="99"/>
    <w:semiHidden/>
    <w:unhideWhenUsed/>
    <w:rsid w:val="005E31E0"/>
    <w:rPr>
      <w:b/>
      <w:bCs/>
    </w:rPr>
  </w:style>
  <w:style w:type="character" w:customStyle="1" w:styleId="ObjetducommentaireCar">
    <w:name w:val="Objet du commentaire Car"/>
    <w:basedOn w:val="CommentaireCar"/>
    <w:link w:val="Objetducommentaire"/>
    <w:uiPriority w:val="99"/>
    <w:semiHidden/>
    <w:rsid w:val="005E31E0"/>
    <w:rPr>
      <w:b/>
      <w:bCs/>
      <w:sz w:val="20"/>
      <w:szCs w:val="20"/>
    </w:rPr>
  </w:style>
  <w:style w:type="character" w:customStyle="1" w:styleId="Mentionnonrsolue2">
    <w:name w:val="Mention non résolue2"/>
    <w:basedOn w:val="Policepardfaut"/>
    <w:uiPriority w:val="99"/>
    <w:semiHidden/>
    <w:unhideWhenUsed/>
    <w:rsid w:val="00DA78C6"/>
    <w:rPr>
      <w:color w:val="605E5C"/>
      <w:shd w:val="clear" w:color="auto" w:fill="E1DFDD"/>
    </w:rPr>
  </w:style>
  <w:style w:type="paragraph" w:styleId="Notedebasdepage">
    <w:name w:val="footnote text"/>
    <w:basedOn w:val="Normal"/>
    <w:link w:val="NotedebasdepageCar"/>
    <w:uiPriority w:val="99"/>
    <w:semiHidden/>
    <w:unhideWhenUsed/>
    <w:rsid w:val="008D383B"/>
    <w:rPr>
      <w:sz w:val="20"/>
      <w:szCs w:val="20"/>
    </w:rPr>
  </w:style>
  <w:style w:type="character" w:customStyle="1" w:styleId="NotedebasdepageCar">
    <w:name w:val="Note de bas de page Car"/>
    <w:basedOn w:val="Policepardfaut"/>
    <w:link w:val="Notedebasdepage"/>
    <w:uiPriority w:val="99"/>
    <w:semiHidden/>
    <w:rsid w:val="008D383B"/>
    <w:rPr>
      <w:sz w:val="20"/>
      <w:szCs w:val="20"/>
    </w:rPr>
  </w:style>
  <w:style w:type="character" w:styleId="Appelnotedebasdep">
    <w:name w:val="footnote reference"/>
    <w:basedOn w:val="Policepardfaut"/>
    <w:uiPriority w:val="99"/>
    <w:semiHidden/>
    <w:unhideWhenUsed/>
    <w:rsid w:val="008D383B"/>
    <w:rPr>
      <w:vertAlign w:val="superscript"/>
    </w:rPr>
  </w:style>
  <w:style w:type="character" w:styleId="Lienhypertextesuivivisit">
    <w:name w:val="FollowedHyperlink"/>
    <w:basedOn w:val="Policepardfaut"/>
    <w:uiPriority w:val="99"/>
    <w:semiHidden/>
    <w:unhideWhenUsed/>
    <w:rsid w:val="00A6610E"/>
    <w:rPr>
      <w:color w:val="800080" w:themeColor="followedHyperlink"/>
      <w:u w:val="single"/>
    </w:rPr>
  </w:style>
  <w:style w:type="table" w:styleId="TableauGrille4-Accentuation4">
    <w:name w:val="Grid Table 4 Accent 4"/>
    <w:basedOn w:val="TableauNormal"/>
    <w:uiPriority w:val="49"/>
    <w:rsid w:val="00211346"/>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customStyle="1" w:styleId="Titre2Car">
    <w:name w:val="Titre 2 Car"/>
    <w:basedOn w:val="Policepardfaut"/>
    <w:link w:val="Titre2"/>
    <w:uiPriority w:val="9"/>
    <w:rsid w:val="00321B1F"/>
    <w:rPr>
      <w:rFonts w:eastAsiaTheme="majorEastAsia" w:cstheme="majorBidi"/>
      <w:b/>
      <w:i/>
      <w:color w:val="5F497A" w:themeColor="accent4" w:themeShade="BF"/>
      <w:sz w:val="24"/>
      <w:szCs w:val="26"/>
    </w:rPr>
  </w:style>
  <w:style w:type="paragraph" w:styleId="Rvision">
    <w:name w:val="Revision"/>
    <w:hidden/>
    <w:uiPriority w:val="99"/>
    <w:semiHidden/>
    <w:rsid w:val="00C95D4F"/>
  </w:style>
  <w:style w:type="character" w:customStyle="1" w:styleId="Mentionnonrsolue3">
    <w:name w:val="Mention non résolue3"/>
    <w:basedOn w:val="Policepardfaut"/>
    <w:uiPriority w:val="99"/>
    <w:semiHidden/>
    <w:unhideWhenUsed/>
    <w:rsid w:val="001B059A"/>
    <w:rPr>
      <w:color w:val="605E5C"/>
      <w:shd w:val="clear" w:color="auto" w:fill="E1DFDD"/>
    </w:rPr>
  </w:style>
  <w:style w:type="table" w:styleId="TableauGrille5Fonc-Accentuation4">
    <w:name w:val="Grid Table 5 Dark Accent 4"/>
    <w:basedOn w:val="TableauNormal"/>
    <w:uiPriority w:val="50"/>
    <w:rsid w:val="00BC713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character" w:styleId="Mentionnonrsolue">
    <w:name w:val="Unresolved Mention"/>
    <w:basedOn w:val="Policepardfaut"/>
    <w:uiPriority w:val="99"/>
    <w:semiHidden/>
    <w:unhideWhenUsed/>
    <w:rsid w:val="006A057E"/>
    <w:rPr>
      <w:color w:val="605E5C"/>
      <w:shd w:val="clear" w:color="auto" w:fill="E1DFDD"/>
    </w:rPr>
  </w:style>
  <w:style w:type="table" w:customStyle="1" w:styleId="TableauListe4-Accentuation41">
    <w:name w:val="Tableau Liste 4 - Accentuation 41"/>
    <w:basedOn w:val="TableauNormal"/>
    <w:uiPriority w:val="49"/>
    <w:rsid w:val="003C67F7"/>
    <w:rPr>
      <w:rFonts w:ascii="Times New Roman" w:eastAsia="Times New Roman" w:hAnsi="Times New Roman" w:cs="Times New Roman"/>
      <w:sz w:val="24"/>
      <w:szCs w:val="24"/>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540862">
      <w:bodyDiv w:val="1"/>
      <w:marLeft w:val="0"/>
      <w:marRight w:val="0"/>
      <w:marTop w:val="0"/>
      <w:marBottom w:val="0"/>
      <w:divBdr>
        <w:top w:val="none" w:sz="0" w:space="0" w:color="auto"/>
        <w:left w:val="none" w:sz="0" w:space="0" w:color="auto"/>
        <w:bottom w:val="none" w:sz="0" w:space="0" w:color="auto"/>
        <w:right w:val="none" w:sz="0" w:space="0" w:color="auto"/>
      </w:divBdr>
    </w:div>
    <w:div w:id="212426674">
      <w:bodyDiv w:val="1"/>
      <w:marLeft w:val="0"/>
      <w:marRight w:val="0"/>
      <w:marTop w:val="0"/>
      <w:marBottom w:val="0"/>
      <w:divBdr>
        <w:top w:val="none" w:sz="0" w:space="0" w:color="auto"/>
        <w:left w:val="none" w:sz="0" w:space="0" w:color="auto"/>
        <w:bottom w:val="none" w:sz="0" w:space="0" w:color="auto"/>
        <w:right w:val="none" w:sz="0" w:space="0" w:color="auto"/>
      </w:divBdr>
    </w:div>
    <w:div w:id="283583820">
      <w:bodyDiv w:val="1"/>
      <w:marLeft w:val="0"/>
      <w:marRight w:val="0"/>
      <w:marTop w:val="0"/>
      <w:marBottom w:val="0"/>
      <w:divBdr>
        <w:top w:val="none" w:sz="0" w:space="0" w:color="auto"/>
        <w:left w:val="none" w:sz="0" w:space="0" w:color="auto"/>
        <w:bottom w:val="none" w:sz="0" w:space="0" w:color="auto"/>
        <w:right w:val="none" w:sz="0" w:space="0" w:color="auto"/>
      </w:divBdr>
    </w:div>
    <w:div w:id="437604681">
      <w:bodyDiv w:val="1"/>
      <w:marLeft w:val="0"/>
      <w:marRight w:val="0"/>
      <w:marTop w:val="0"/>
      <w:marBottom w:val="0"/>
      <w:divBdr>
        <w:top w:val="none" w:sz="0" w:space="0" w:color="auto"/>
        <w:left w:val="none" w:sz="0" w:space="0" w:color="auto"/>
        <w:bottom w:val="none" w:sz="0" w:space="0" w:color="auto"/>
        <w:right w:val="none" w:sz="0" w:space="0" w:color="auto"/>
      </w:divBdr>
    </w:div>
    <w:div w:id="449209568">
      <w:bodyDiv w:val="1"/>
      <w:marLeft w:val="0"/>
      <w:marRight w:val="0"/>
      <w:marTop w:val="0"/>
      <w:marBottom w:val="0"/>
      <w:divBdr>
        <w:top w:val="none" w:sz="0" w:space="0" w:color="auto"/>
        <w:left w:val="none" w:sz="0" w:space="0" w:color="auto"/>
        <w:bottom w:val="none" w:sz="0" w:space="0" w:color="auto"/>
        <w:right w:val="none" w:sz="0" w:space="0" w:color="auto"/>
      </w:divBdr>
    </w:div>
    <w:div w:id="451167568">
      <w:bodyDiv w:val="1"/>
      <w:marLeft w:val="0"/>
      <w:marRight w:val="0"/>
      <w:marTop w:val="0"/>
      <w:marBottom w:val="0"/>
      <w:divBdr>
        <w:top w:val="none" w:sz="0" w:space="0" w:color="auto"/>
        <w:left w:val="none" w:sz="0" w:space="0" w:color="auto"/>
        <w:bottom w:val="none" w:sz="0" w:space="0" w:color="auto"/>
        <w:right w:val="none" w:sz="0" w:space="0" w:color="auto"/>
      </w:divBdr>
    </w:div>
    <w:div w:id="460808476">
      <w:bodyDiv w:val="1"/>
      <w:marLeft w:val="0"/>
      <w:marRight w:val="0"/>
      <w:marTop w:val="0"/>
      <w:marBottom w:val="0"/>
      <w:divBdr>
        <w:top w:val="none" w:sz="0" w:space="0" w:color="auto"/>
        <w:left w:val="none" w:sz="0" w:space="0" w:color="auto"/>
        <w:bottom w:val="none" w:sz="0" w:space="0" w:color="auto"/>
        <w:right w:val="none" w:sz="0" w:space="0" w:color="auto"/>
      </w:divBdr>
    </w:div>
    <w:div w:id="556010191">
      <w:bodyDiv w:val="1"/>
      <w:marLeft w:val="0"/>
      <w:marRight w:val="0"/>
      <w:marTop w:val="0"/>
      <w:marBottom w:val="0"/>
      <w:divBdr>
        <w:top w:val="none" w:sz="0" w:space="0" w:color="auto"/>
        <w:left w:val="none" w:sz="0" w:space="0" w:color="auto"/>
        <w:bottom w:val="none" w:sz="0" w:space="0" w:color="auto"/>
        <w:right w:val="none" w:sz="0" w:space="0" w:color="auto"/>
      </w:divBdr>
    </w:div>
    <w:div w:id="674310859">
      <w:bodyDiv w:val="1"/>
      <w:marLeft w:val="0"/>
      <w:marRight w:val="0"/>
      <w:marTop w:val="0"/>
      <w:marBottom w:val="0"/>
      <w:divBdr>
        <w:top w:val="none" w:sz="0" w:space="0" w:color="auto"/>
        <w:left w:val="none" w:sz="0" w:space="0" w:color="auto"/>
        <w:bottom w:val="none" w:sz="0" w:space="0" w:color="auto"/>
        <w:right w:val="none" w:sz="0" w:space="0" w:color="auto"/>
      </w:divBdr>
    </w:div>
    <w:div w:id="1004211708">
      <w:bodyDiv w:val="1"/>
      <w:marLeft w:val="0"/>
      <w:marRight w:val="0"/>
      <w:marTop w:val="0"/>
      <w:marBottom w:val="0"/>
      <w:divBdr>
        <w:top w:val="none" w:sz="0" w:space="0" w:color="auto"/>
        <w:left w:val="none" w:sz="0" w:space="0" w:color="auto"/>
        <w:bottom w:val="none" w:sz="0" w:space="0" w:color="auto"/>
        <w:right w:val="none" w:sz="0" w:space="0" w:color="auto"/>
      </w:divBdr>
    </w:div>
    <w:div w:id="1124154402">
      <w:bodyDiv w:val="1"/>
      <w:marLeft w:val="0"/>
      <w:marRight w:val="0"/>
      <w:marTop w:val="0"/>
      <w:marBottom w:val="0"/>
      <w:divBdr>
        <w:top w:val="none" w:sz="0" w:space="0" w:color="auto"/>
        <w:left w:val="none" w:sz="0" w:space="0" w:color="auto"/>
        <w:bottom w:val="none" w:sz="0" w:space="0" w:color="auto"/>
        <w:right w:val="none" w:sz="0" w:space="0" w:color="auto"/>
      </w:divBdr>
    </w:div>
    <w:div w:id="1217401454">
      <w:bodyDiv w:val="1"/>
      <w:marLeft w:val="0"/>
      <w:marRight w:val="0"/>
      <w:marTop w:val="0"/>
      <w:marBottom w:val="0"/>
      <w:divBdr>
        <w:top w:val="none" w:sz="0" w:space="0" w:color="auto"/>
        <w:left w:val="none" w:sz="0" w:space="0" w:color="auto"/>
        <w:bottom w:val="none" w:sz="0" w:space="0" w:color="auto"/>
        <w:right w:val="none" w:sz="0" w:space="0" w:color="auto"/>
      </w:divBdr>
      <w:divsChild>
        <w:div w:id="1810901951">
          <w:marLeft w:val="0"/>
          <w:marRight w:val="0"/>
          <w:marTop w:val="0"/>
          <w:marBottom w:val="0"/>
          <w:divBdr>
            <w:top w:val="none" w:sz="0" w:space="0" w:color="auto"/>
            <w:left w:val="none" w:sz="0" w:space="0" w:color="auto"/>
            <w:bottom w:val="none" w:sz="0" w:space="0" w:color="auto"/>
            <w:right w:val="none" w:sz="0" w:space="0" w:color="auto"/>
          </w:divBdr>
        </w:div>
      </w:divsChild>
    </w:div>
    <w:div w:id="1250846966">
      <w:bodyDiv w:val="1"/>
      <w:marLeft w:val="0"/>
      <w:marRight w:val="0"/>
      <w:marTop w:val="0"/>
      <w:marBottom w:val="0"/>
      <w:divBdr>
        <w:top w:val="none" w:sz="0" w:space="0" w:color="auto"/>
        <w:left w:val="none" w:sz="0" w:space="0" w:color="auto"/>
        <w:bottom w:val="none" w:sz="0" w:space="0" w:color="auto"/>
        <w:right w:val="none" w:sz="0" w:space="0" w:color="auto"/>
      </w:divBdr>
    </w:div>
    <w:div w:id="1330016538">
      <w:bodyDiv w:val="1"/>
      <w:marLeft w:val="0"/>
      <w:marRight w:val="0"/>
      <w:marTop w:val="0"/>
      <w:marBottom w:val="0"/>
      <w:divBdr>
        <w:top w:val="none" w:sz="0" w:space="0" w:color="auto"/>
        <w:left w:val="none" w:sz="0" w:space="0" w:color="auto"/>
        <w:bottom w:val="none" w:sz="0" w:space="0" w:color="auto"/>
        <w:right w:val="none" w:sz="0" w:space="0" w:color="auto"/>
      </w:divBdr>
    </w:div>
    <w:div w:id="1444574646">
      <w:bodyDiv w:val="1"/>
      <w:marLeft w:val="0"/>
      <w:marRight w:val="0"/>
      <w:marTop w:val="0"/>
      <w:marBottom w:val="0"/>
      <w:divBdr>
        <w:top w:val="none" w:sz="0" w:space="0" w:color="auto"/>
        <w:left w:val="none" w:sz="0" w:space="0" w:color="auto"/>
        <w:bottom w:val="none" w:sz="0" w:space="0" w:color="auto"/>
        <w:right w:val="none" w:sz="0" w:space="0" w:color="auto"/>
      </w:divBdr>
    </w:div>
    <w:div w:id="1536232865">
      <w:bodyDiv w:val="1"/>
      <w:marLeft w:val="0"/>
      <w:marRight w:val="0"/>
      <w:marTop w:val="0"/>
      <w:marBottom w:val="0"/>
      <w:divBdr>
        <w:top w:val="none" w:sz="0" w:space="0" w:color="auto"/>
        <w:left w:val="none" w:sz="0" w:space="0" w:color="auto"/>
        <w:bottom w:val="none" w:sz="0" w:space="0" w:color="auto"/>
        <w:right w:val="none" w:sz="0" w:space="0" w:color="auto"/>
      </w:divBdr>
    </w:div>
    <w:div w:id="1623851061">
      <w:bodyDiv w:val="1"/>
      <w:marLeft w:val="0"/>
      <w:marRight w:val="0"/>
      <w:marTop w:val="0"/>
      <w:marBottom w:val="0"/>
      <w:divBdr>
        <w:top w:val="none" w:sz="0" w:space="0" w:color="auto"/>
        <w:left w:val="none" w:sz="0" w:space="0" w:color="auto"/>
        <w:bottom w:val="none" w:sz="0" w:space="0" w:color="auto"/>
        <w:right w:val="none" w:sz="0" w:space="0" w:color="auto"/>
      </w:divBdr>
    </w:div>
    <w:div w:id="1719936831">
      <w:bodyDiv w:val="1"/>
      <w:marLeft w:val="0"/>
      <w:marRight w:val="0"/>
      <w:marTop w:val="0"/>
      <w:marBottom w:val="0"/>
      <w:divBdr>
        <w:top w:val="none" w:sz="0" w:space="0" w:color="auto"/>
        <w:left w:val="none" w:sz="0" w:space="0" w:color="auto"/>
        <w:bottom w:val="none" w:sz="0" w:space="0" w:color="auto"/>
        <w:right w:val="none" w:sz="0" w:space="0" w:color="auto"/>
      </w:divBdr>
    </w:div>
    <w:div w:id="1799834756">
      <w:bodyDiv w:val="1"/>
      <w:marLeft w:val="0"/>
      <w:marRight w:val="0"/>
      <w:marTop w:val="0"/>
      <w:marBottom w:val="0"/>
      <w:divBdr>
        <w:top w:val="none" w:sz="0" w:space="0" w:color="auto"/>
        <w:left w:val="none" w:sz="0" w:space="0" w:color="auto"/>
        <w:bottom w:val="none" w:sz="0" w:space="0" w:color="auto"/>
        <w:right w:val="none" w:sz="0" w:space="0" w:color="auto"/>
      </w:divBdr>
    </w:div>
    <w:div w:id="1826899991">
      <w:bodyDiv w:val="1"/>
      <w:marLeft w:val="0"/>
      <w:marRight w:val="0"/>
      <w:marTop w:val="0"/>
      <w:marBottom w:val="0"/>
      <w:divBdr>
        <w:top w:val="none" w:sz="0" w:space="0" w:color="auto"/>
        <w:left w:val="none" w:sz="0" w:space="0" w:color="auto"/>
        <w:bottom w:val="none" w:sz="0" w:space="0" w:color="auto"/>
        <w:right w:val="none" w:sz="0" w:space="0" w:color="auto"/>
      </w:divBdr>
    </w:div>
    <w:div w:id="1870532149">
      <w:bodyDiv w:val="1"/>
      <w:marLeft w:val="0"/>
      <w:marRight w:val="0"/>
      <w:marTop w:val="0"/>
      <w:marBottom w:val="0"/>
      <w:divBdr>
        <w:top w:val="none" w:sz="0" w:space="0" w:color="auto"/>
        <w:left w:val="none" w:sz="0" w:space="0" w:color="auto"/>
        <w:bottom w:val="none" w:sz="0" w:space="0" w:color="auto"/>
        <w:right w:val="none" w:sz="0" w:space="0" w:color="auto"/>
      </w:divBdr>
    </w:div>
    <w:div w:id="1952396066">
      <w:bodyDiv w:val="1"/>
      <w:marLeft w:val="0"/>
      <w:marRight w:val="0"/>
      <w:marTop w:val="0"/>
      <w:marBottom w:val="0"/>
      <w:divBdr>
        <w:top w:val="none" w:sz="0" w:space="0" w:color="auto"/>
        <w:left w:val="none" w:sz="0" w:space="0" w:color="auto"/>
        <w:bottom w:val="none" w:sz="0" w:space="0" w:color="auto"/>
        <w:right w:val="none" w:sz="0" w:space="0" w:color="auto"/>
      </w:divBdr>
    </w:div>
    <w:div w:id="1993025122">
      <w:bodyDiv w:val="1"/>
      <w:marLeft w:val="0"/>
      <w:marRight w:val="0"/>
      <w:marTop w:val="0"/>
      <w:marBottom w:val="0"/>
      <w:divBdr>
        <w:top w:val="none" w:sz="0" w:space="0" w:color="auto"/>
        <w:left w:val="none" w:sz="0" w:space="0" w:color="auto"/>
        <w:bottom w:val="none" w:sz="0" w:space="0" w:color="auto"/>
        <w:right w:val="none" w:sz="0" w:space="0" w:color="auto"/>
      </w:divBdr>
    </w:div>
    <w:div w:id="21199116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c.europa.eu/programmes/erasmus-plus/resources/documents/erasmus-programme-guide-2021_fr" TargetMode="External"/><Relationship Id="rId18" Type="http://schemas.openxmlformats.org/officeDocument/2006/relationships/hyperlink" Target="https://nbmiblog.wordpress.com/" TargetMode="External"/><Relationship Id="rId26" Type="http://schemas.openxmlformats.org/officeDocument/2006/relationships/hyperlink" Target="https://agence.erasmusplus.fr/" TargetMode="External"/><Relationship Id="rId3" Type="http://schemas.openxmlformats.org/officeDocument/2006/relationships/styles" Target="styles.xml"/><Relationship Id="rId21" Type="http://schemas.openxmlformats.org/officeDocument/2006/relationships/hyperlink" Target="https://archnetwork.org/about/net-managing-our-natural-and-cultural-assets/"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ec.europa.eu/programmes/erasmus-plus/resources/documents/model-grant-agreement-2020_fr" TargetMode="External"/><Relationship Id="rId25" Type="http://schemas.openxmlformats.org/officeDocument/2006/relationships/hyperlink" Target="mailto:contact@agence-erasmus.fr"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c.europa.eu/programmes/erasmus-plus/resources/documents/erasmus-programme-guide-2021_fr" TargetMode="External"/><Relationship Id="rId20" Type="http://schemas.openxmlformats.org/officeDocument/2006/relationships/hyperlink" Target="http://associaterc.cluster020.hosting.ovh.net/?page_id=16" TargetMode="External"/><Relationship Id="rId29" Type="http://schemas.openxmlformats.org/officeDocument/2006/relationships/hyperlink" Target="https://www.erasmusplus-fr.be/menu-expert/les-agences-erasmus/agence-executiv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geral@cm-lousada.pt" TargetMode="External"/><Relationship Id="rId32" Type="http://schemas.openxmlformats.org/officeDocument/2006/relationships/hyperlink" Target="https://agence.erasmusplus.fr/programme-erasmus/pour-vous-aider/recherche-de-partenaires/" TargetMode="External"/><Relationship Id="rId5" Type="http://schemas.openxmlformats.org/officeDocument/2006/relationships/webSettings" Target="webSettings.xml"/><Relationship Id="rId15" Type="http://schemas.openxmlformats.org/officeDocument/2006/relationships/hyperlink" Target="https://webgate.ec.europa.eu/app-forms/af-ui-opportunities/" TargetMode="External"/><Relationship Id="rId23" Type="http://schemas.openxmlformats.org/officeDocument/2006/relationships/hyperlink" Target="https://www.cm-lousada.pt/" TargetMode="External"/><Relationship Id="rId28" Type="http://schemas.openxmlformats.org/officeDocument/2006/relationships/hyperlink" Target="https://erasmusplus-jeunesse.fr/" TargetMode="External"/><Relationship Id="rId10" Type="http://schemas.openxmlformats.org/officeDocument/2006/relationships/header" Target="header1.xml"/><Relationship Id="rId19" Type="http://schemas.openxmlformats.org/officeDocument/2006/relationships/hyperlink" Target="mailto:secretariat.mptll@gmail.com" TargetMode="External"/><Relationship Id="rId31" Type="http://schemas.openxmlformats.org/officeDocument/2006/relationships/hyperlink" Target="https://www.eacea.ec.europa.eu/about-eacea_fr" TargetMode="External"/><Relationship Id="rId4" Type="http://schemas.openxmlformats.org/officeDocument/2006/relationships/settings" Target="settings.xml"/><Relationship Id="rId9" Type="http://schemas.openxmlformats.org/officeDocument/2006/relationships/hyperlink" Target="https://agence.erasmusplus.fr/wp-content/uploads/2021/04/2021-erasmusplus-programme-guide_v2_fr.pdf" TargetMode="External"/><Relationship Id="rId14" Type="http://schemas.openxmlformats.org/officeDocument/2006/relationships/hyperlink" Target="https://ec.europa.eu/programmes/erasmus-plus/resources/documents/erasmus-programme-guide-2021_fr" TargetMode="External"/><Relationship Id="rId22" Type="http://schemas.openxmlformats.org/officeDocument/2006/relationships/hyperlink" Target="https://www.facebook.com/archnetwork/" TargetMode="External"/><Relationship Id="rId27" Type="http://schemas.openxmlformats.org/officeDocument/2006/relationships/hyperlink" Target="https://erasmusplus-jeunesse.fr/" TargetMode="External"/><Relationship Id="rId30" Type="http://schemas.openxmlformats.org/officeDocument/2006/relationships/hyperlink" Target="https://www.eacea.ec.europa.eu/contacts/erasmus_fr" TargetMode="External"/><Relationship Id="rId8" Type="http://schemas.openxmlformats.org/officeDocument/2006/relationships/image" Target="media/image1.jpg"/></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E4C94C-EBB2-4F1C-8EE9-E268D7613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6</Pages>
  <Words>2782</Words>
  <Characters>15301</Characters>
  <Application>Microsoft Office Word</Application>
  <DocSecurity>0</DocSecurity>
  <Lines>127</Lines>
  <Paragraphs>36</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18047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Anne Devieilletoile</cp:lastModifiedBy>
  <cp:revision>33</cp:revision>
  <cp:lastPrinted>2021-04-28T15:05:00Z</cp:lastPrinted>
  <dcterms:created xsi:type="dcterms:W3CDTF">2021-04-29T12:16:00Z</dcterms:created>
  <dcterms:modified xsi:type="dcterms:W3CDTF">2021-05-05T10:09:00Z</dcterms:modified>
</cp:coreProperties>
</file>