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pPr w:leftFromText="142" w:rightFromText="142" w:vertAnchor="text" w:horzAnchor="page" w:tblpY="1"/>
        <w:tblOverlap w:val="never"/>
        <w:tblW w:w="119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34"/>
        <w:gridCol w:w="4819"/>
        <w:gridCol w:w="4819"/>
        <w:gridCol w:w="1134"/>
      </w:tblGrid>
      <w:tr w:rsidR="00F72A58" w14:paraId="11BD2E72" w14:textId="77777777" w:rsidTr="00837091">
        <w:trPr>
          <w:trHeight w:val="392"/>
        </w:trPr>
        <w:tc>
          <w:tcPr>
            <w:tcW w:w="1134" w:type="dxa"/>
            <w:shd w:val="clear" w:color="auto" w:fill="auto"/>
            <w:vAlign w:val="center"/>
          </w:tcPr>
          <w:p w14:paraId="11FEC43D" w14:textId="77777777" w:rsidR="00F72A58" w:rsidRPr="004E3924" w:rsidRDefault="00F72A58" w:rsidP="00837091">
            <w:pPr>
              <w:pStyle w:val="Corpsdetexte"/>
              <w:spacing w:after="0"/>
              <w:jc w:val="center"/>
              <w:rPr>
                <w:rFonts w:asciiTheme="majorHAnsi" w:hAnsiTheme="majorHAnsi"/>
                <w:color w:val="FFFFFF" w:themeColor="background1"/>
                <w:sz w:val="56"/>
              </w:rPr>
            </w:pPr>
            <w:bookmarkStart w:id="0" w:name="_Hlk1746955"/>
          </w:p>
        </w:tc>
        <w:tc>
          <w:tcPr>
            <w:tcW w:w="9638" w:type="dxa"/>
            <w:gridSpan w:val="2"/>
            <w:shd w:val="clear" w:color="auto" w:fill="auto"/>
          </w:tcPr>
          <w:p w14:paraId="75BB03B1" w14:textId="79ACFD0E" w:rsidR="00D5544D" w:rsidRPr="00D5544D" w:rsidRDefault="00C34B97" w:rsidP="00D5544D">
            <w:pPr>
              <w:pStyle w:val="Corpsdetexte"/>
              <w:spacing w:before="120" w:after="0"/>
              <w:jc w:val="center"/>
              <w:rPr>
                <w:rFonts w:asciiTheme="majorHAnsi" w:hAnsiTheme="majorHAnsi"/>
                <w:sz w:val="44"/>
                <w:szCs w:val="44"/>
              </w:rPr>
            </w:pPr>
            <w:sdt>
              <w:sdtPr>
                <w:rPr>
                  <w:rFonts w:asciiTheme="majorHAnsi" w:hAnsiTheme="majorHAnsi"/>
                  <w:sz w:val="44"/>
                  <w:szCs w:val="44"/>
                </w:rPr>
                <w:alias w:val="Titre"/>
                <w:tag w:val="Titre"/>
                <w:id w:val="-1784644998"/>
                <w:placeholder>
                  <w:docPart w:val="D13C07EBA75B48C497D9E7C0B1999B9C"/>
                </w:placeholder>
                <w:text/>
              </w:sdtPr>
              <w:sdtEndPr/>
              <w:sdtContent>
                <w:r w:rsidR="00D5544D" w:rsidRPr="00D5544D">
                  <w:rPr>
                    <w:rFonts w:asciiTheme="majorHAnsi" w:hAnsiTheme="majorHAnsi"/>
                    <w:sz w:val="44"/>
                    <w:szCs w:val="44"/>
                  </w:rPr>
                  <w:t>Observatoire des</w:t>
                </w:r>
                <w:r w:rsidR="00F72A58" w:rsidRPr="00D5544D">
                  <w:rPr>
                    <w:rFonts w:asciiTheme="majorHAnsi" w:hAnsiTheme="majorHAnsi"/>
                    <w:sz w:val="44"/>
                    <w:szCs w:val="44"/>
                  </w:rPr>
                  <w:t xml:space="preserve"> Déchets d’Activité Economique non dangereux non inertes</w:t>
                </w:r>
                <w:r w:rsidR="00D5544D" w:rsidRPr="00D5544D">
                  <w:rPr>
                    <w:rFonts w:asciiTheme="majorHAnsi" w:hAnsiTheme="majorHAnsi"/>
                    <w:sz w:val="44"/>
                    <w:szCs w:val="44"/>
                  </w:rPr>
                  <w:t xml:space="preserve"> en Région Grand Est </w:t>
                </w:r>
              </w:sdtContent>
            </w:sdt>
            <w:r w:rsidR="00D5544D" w:rsidRPr="008F4A01">
              <w:rPr>
                <w:rFonts w:asciiTheme="majorHAnsi" w:hAnsiTheme="majorHAnsi"/>
                <w:color w:val="1598D9" w:themeColor="accent2"/>
                <w:sz w:val="36"/>
                <w:szCs w:val="36"/>
              </w:rPr>
              <w:t>Actualisation</w:t>
            </w:r>
            <w:r w:rsidR="008F4A01" w:rsidRPr="008F4A01">
              <w:rPr>
                <w:rFonts w:asciiTheme="majorHAnsi" w:hAnsiTheme="majorHAnsi"/>
                <w:color w:val="1598D9" w:themeColor="accent2"/>
                <w:sz w:val="36"/>
                <w:szCs w:val="36"/>
              </w:rPr>
              <w:t xml:space="preserve"> SRADDET - Données</w:t>
            </w:r>
            <w:r w:rsidR="00D5544D" w:rsidRPr="008F4A01">
              <w:rPr>
                <w:rFonts w:asciiTheme="majorHAnsi" w:hAnsiTheme="majorHAnsi"/>
                <w:color w:val="1598D9" w:themeColor="accent2"/>
                <w:sz w:val="36"/>
                <w:szCs w:val="36"/>
              </w:rPr>
              <w:t xml:space="preserve"> 20</w:t>
            </w:r>
            <w:r w:rsidR="00ED2F32">
              <w:rPr>
                <w:rFonts w:asciiTheme="majorHAnsi" w:hAnsiTheme="majorHAnsi"/>
                <w:color w:val="1598D9" w:themeColor="accent2"/>
                <w:sz w:val="36"/>
                <w:szCs w:val="36"/>
              </w:rPr>
              <w:t>20</w:t>
            </w:r>
            <w:r w:rsidR="00A10FFA">
              <w:rPr>
                <w:rFonts w:asciiTheme="majorHAnsi" w:hAnsiTheme="majorHAnsi"/>
                <w:color w:val="1598D9" w:themeColor="accent2"/>
                <w:sz w:val="36"/>
                <w:szCs w:val="36"/>
              </w:rPr>
              <w:t xml:space="preserve"> </w:t>
            </w:r>
            <w:r w:rsidR="00F80728">
              <w:rPr>
                <w:rFonts w:asciiTheme="majorHAnsi" w:hAnsiTheme="majorHAnsi"/>
                <w:color w:val="1598D9" w:themeColor="accent2"/>
                <w:sz w:val="36"/>
                <w:szCs w:val="36"/>
              </w:rPr>
              <w:t>-</w:t>
            </w:r>
            <w:r w:rsidR="00A10FFA">
              <w:rPr>
                <w:rFonts w:asciiTheme="majorHAnsi" w:hAnsiTheme="majorHAnsi"/>
                <w:color w:val="1598D9" w:themeColor="accent2"/>
                <w:sz w:val="36"/>
                <w:szCs w:val="36"/>
              </w:rPr>
              <w:t xml:space="preserve"> </w:t>
            </w:r>
            <w:r w:rsidR="00B17E62">
              <w:rPr>
                <w:rFonts w:asciiTheme="majorHAnsi" w:hAnsiTheme="majorHAnsi"/>
                <w:color w:val="1598D9" w:themeColor="accent2"/>
                <w:sz w:val="36"/>
                <w:szCs w:val="36"/>
              </w:rPr>
              <w:t>Vosges</w:t>
            </w:r>
          </w:p>
        </w:tc>
        <w:tc>
          <w:tcPr>
            <w:tcW w:w="1134" w:type="dxa"/>
            <w:shd w:val="clear" w:color="auto" w:fill="auto"/>
            <w:textDirection w:val="btLr"/>
          </w:tcPr>
          <w:p w14:paraId="22898B99" w14:textId="77777777" w:rsidR="00F72A58" w:rsidRPr="004E3924" w:rsidRDefault="00F72A58" w:rsidP="005C06C5">
            <w:pPr>
              <w:pStyle w:val="Corpsdetexte"/>
              <w:spacing w:before="0" w:after="0"/>
              <w:jc w:val="center"/>
              <w:rPr>
                <w:color w:val="FFFFFF" w:themeColor="background1"/>
                <w:sz w:val="18"/>
              </w:rPr>
            </w:pPr>
          </w:p>
        </w:tc>
      </w:tr>
      <w:tr w:rsidR="00F72A58" w14:paraId="1DA30ACB" w14:textId="77777777" w:rsidTr="005C06C5">
        <w:trPr>
          <w:trHeight w:val="486"/>
        </w:trPr>
        <w:tc>
          <w:tcPr>
            <w:tcW w:w="1134" w:type="dxa"/>
            <w:shd w:val="clear" w:color="auto" w:fill="auto"/>
          </w:tcPr>
          <w:p w14:paraId="21AB984B" w14:textId="77777777" w:rsidR="00F72A58" w:rsidRPr="004E3924" w:rsidRDefault="00F72A58" w:rsidP="005C06C5">
            <w:pPr>
              <w:pStyle w:val="Corpsdetexte"/>
              <w:spacing w:before="0"/>
              <w:ind w:right="57"/>
              <w:jc w:val="center"/>
              <w:rPr>
                <w:color w:val="FFFFFF" w:themeColor="background1"/>
                <w:sz w:val="28"/>
              </w:rPr>
            </w:pPr>
          </w:p>
        </w:tc>
        <w:tc>
          <w:tcPr>
            <w:tcW w:w="9638" w:type="dxa"/>
            <w:gridSpan w:val="2"/>
            <w:tcBorders>
              <w:bottom w:val="single" w:sz="12" w:space="0" w:color="E0E0E0" w:themeColor="text2" w:themeTint="33"/>
            </w:tcBorders>
            <w:shd w:val="clear" w:color="auto" w:fill="auto"/>
          </w:tcPr>
          <w:p w14:paraId="4EFE36A8" w14:textId="5BCAA444" w:rsidR="00F72A58" w:rsidRPr="00D5544D" w:rsidRDefault="00C34B97" w:rsidP="005C06C5">
            <w:pPr>
              <w:pStyle w:val="Corpsdetexte"/>
              <w:spacing w:before="0"/>
              <w:ind w:right="57"/>
              <w:jc w:val="center"/>
              <w:rPr>
                <w:sz w:val="22"/>
              </w:rPr>
            </w:pPr>
            <w:sdt>
              <w:sdtPr>
                <w:rPr>
                  <w:sz w:val="22"/>
                </w:rPr>
                <w:alias w:val="Sous-titre"/>
                <w:tag w:val="Sous-titre"/>
                <w:id w:val="-309025554"/>
                <w:placeholder>
                  <w:docPart w:val="F77FB61C2192424D9F9C50CE564523BB"/>
                </w:placeholder>
              </w:sdtPr>
              <w:sdtEndPr/>
              <w:sdtContent>
                <w:r w:rsidR="00D5544D">
                  <w:rPr>
                    <w:sz w:val="22"/>
                  </w:rPr>
                  <w:t xml:space="preserve">Observatoire déchets du SRADDET </w:t>
                </w:r>
                <w:r w:rsidR="00162BA9" w:rsidRPr="00D5544D">
                  <w:rPr>
                    <w:sz w:val="22"/>
                  </w:rPr>
                  <w:t xml:space="preserve">– Fiche </w:t>
                </w:r>
                <w:r w:rsidR="00D5544D" w:rsidRPr="00D5544D">
                  <w:rPr>
                    <w:sz w:val="22"/>
                  </w:rPr>
                  <w:t>de s</w:t>
                </w:r>
                <w:r w:rsidR="00162BA9" w:rsidRPr="00D5544D">
                  <w:rPr>
                    <w:sz w:val="22"/>
                  </w:rPr>
                  <w:t>ynthèse</w:t>
                </w:r>
                <w:r w:rsidR="00D5544D" w:rsidRPr="00D5544D">
                  <w:rPr>
                    <w:sz w:val="22"/>
                  </w:rPr>
                  <w:t xml:space="preserve"> départementale</w:t>
                </w:r>
              </w:sdtContent>
            </w:sdt>
          </w:p>
        </w:tc>
        <w:tc>
          <w:tcPr>
            <w:tcW w:w="1134" w:type="dxa"/>
            <w:shd w:val="clear" w:color="auto" w:fill="auto"/>
            <w:textDirection w:val="btLr"/>
          </w:tcPr>
          <w:p w14:paraId="0983BAD4" w14:textId="77777777" w:rsidR="00F72A58" w:rsidRDefault="00F72A58" w:rsidP="005C06C5">
            <w:pPr>
              <w:pStyle w:val="Corpsdetexte"/>
            </w:pPr>
          </w:p>
        </w:tc>
      </w:tr>
      <w:tr w:rsidR="00F72A58" w14:paraId="4A3E3F47" w14:textId="77777777" w:rsidTr="005C06C5">
        <w:trPr>
          <w:trHeight w:val="80"/>
        </w:trPr>
        <w:tc>
          <w:tcPr>
            <w:tcW w:w="1134" w:type="dxa"/>
          </w:tcPr>
          <w:p w14:paraId="12E1D4EE" w14:textId="77777777" w:rsidR="00F72A58" w:rsidRDefault="00F72A58" w:rsidP="005C06C5">
            <w:pPr>
              <w:pStyle w:val="Corpsdetexte"/>
              <w:spacing w:before="0" w:after="0"/>
              <w:ind w:right="57"/>
            </w:pPr>
          </w:p>
        </w:tc>
        <w:tc>
          <w:tcPr>
            <w:tcW w:w="4819" w:type="dxa"/>
            <w:tcBorders>
              <w:top w:val="single" w:sz="12" w:space="0" w:color="E0E0E0" w:themeColor="text2" w:themeTint="33"/>
            </w:tcBorders>
          </w:tcPr>
          <w:p w14:paraId="7CB2775D" w14:textId="4A0DD975" w:rsidR="00F72A58" w:rsidRPr="00B2302C" w:rsidRDefault="00F72A58" w:rsidP="005C06C5">
            <w:pPr>
              <w:pStyle w:val="Corpsdetexte"/>
              <w:spacing w:before="0" w:after="0"/>
              <w:jc w:val="left"/>
              <w:rPr>
                <w:color w:val="A2A2A2" w:themeColor="text2" w:themeTint="99"/>
                <w:sz w:val="18"/>
              </w:rPr>
            </w:pPr>
            <w:r>
              <w:rPr>
                <w:color w:val="A2A2A2" w:themeColor="text2" w:themeTint="99"/>
                <w:sz w:val="18"/>
              </w:rPr>
              <w:t xml:space="preserve">Auteur : </w:t>
            </w:r>
            <w:r>
              <w:rPr>
                <w:color w:val="A2A2A2" w:themeColor="text2" w:themeTint="99"/>
                <w:sz w:val="18"/>
              </w:rPr>
              <w:fldChar w:fldCharType="begin"/>
            </w:r>
            <w:r>
              <w:rPr>
                <w:color w:val="A2A2A2" w:themeColor="text2" w:themeTint="99"/>
                <w:sz w:val="18"/>
              </w:rPr>
              <w:instrText xml:space="preserve"> DOCPROPERTY  Company  \* MERGEFORMAT </w:instrText>
            </w:r>
            <w:r>
              <w:rPr>
                <w:color w:val="A2A2A2" w:themeColor="text2" w:themeTint="99"/>
                <w:sz w:val="18"/>
              </w:rPr>
              <w:fldChar w:fldCharType="separate"/>
            </w:r>
            <w:r>
              <w:rPr>
                <w:color w:val="A2A2A2" w:themeColor="text2" w:themeTint="99"/>
                <w:sz w:val="18"/>
              </w:rPr>
              <w:t>AJBD</w:t>
            </w:r>
            <w:r>
              <w:rPr>
                <w:color w:val="A2A2A2" w:themeColor="text2" w:themeTint="99"/>
                <w:sz w:val="18"/>
              </w:rPr>
              <w:fldChar w:fldCharType="end"/>
            </w:r>
          </w:p>
        </w:tc>
        <w:tc>
          <w:tcPr>
            <w:tcW w:w="4819" w:type="dxa"/>
            <w:tcBorders>
              <w:top w:val="single" w:sz="12" w:space="0" w:color="E0E0E0" w:themeColor="text2" w:themeTint="33"/>
            </w:tcBorders>
          </w:tcPr>
          <w:p w14:paraId="659A20DF" w14:textId="64D0B568" w:rsidR="00F72A58" w:rsidRDefault="003B6813" w:rsidP="005C06C5">
            <w:pPr>
              <w:pStyle w:val="Corpsdetexte"/>
              <w:spacing w:before="0" w:after="0"/>
              <w:jc w:val="right"/>
            </w:pPr>
            <w:r>
              <w:rPr>
                <w:color w:val="A2A2A2" w:themeColor="text2" w:themeTint="99"/>
                <w:sz w:val="18"/>
              </w:rPr>
              <w:t>v.</w:t>
            </w:r>
            <w:r w:rsidR="00ED2F32">
              <w:rPr>
                <w:color w:val="A2A2A2" w:themeColor="text2" w:themeTint="99"/>
                <w:sz w:val="18"/>
              </w:rPr>
              <w:t>05</w:t>
            </w:r>
            <w:r>
              <w:rPr>
                <w:color w:val="A2A2A2" w:themeColor="text2" w:themeTint="99"/>
                <w:sz w:val="18"/>
              </w:rPr>
              <w:t>.</w:t>
            </w:r>
            <w:r w:rsidR="009A762A">
              <w:rPr>
                <w:color w:val="A2A2A2" w:themeColor="text2" w:themeTint="99"/>
                <w:sz w:val="18"/>
              </w:rPr>
              <w:t>0</w:t>
            </w:r>
            <w:r w:rsidR="00ED2F32">
              <w:rPr>
                <w:color w:val="A2A2A2" w:themeColor="text2" w:themeTint="99"/>
                <w:sz w:val="18"/>
              </w:rPr>
              <w:t>8</w:t>
            </w:r>
            <w:r>
              <w:rPr>
                <w:color w:val="A2A2A2" w:themeColor="text2" w:themeTint="99"/>
                <w:sz w:val="18"/>
              </w:rPr>
              <w:t>.</w:t>
            </w:r>
            <w:r w:rsidR="009A762A">
              <w:rPr>
                <w:color w:val="A2A2A2" w:themeColor="text2" w:themeTint="99"/>
                <w:sz w:val="18"/>
              </w:rPr>
              <w:t>22</w:t>
            </w:r>
          </w:p>
        </w:tc>
        <w:tc>
          <w:tcPr>
            <w:tcW w:w="1134" w:type="dxa"/>
            <w:textDirection w:val="btLr"/>
          </w:tcPr>
          <w:p w14:paraId="64EBEF0A" w14:textId="77777777" w:rsidR="00F72A58" w:rsidRDefault="00F72A58" w:rsidP="005C06C5">
            <w:pPr>
              <w:pStyle w:val="Corpsdetexte"/>
            </w:pPr>
          </w:p>
        </w:tc>
      </w:tr>
    </w:tbl>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3732"/>
        <w:gridCol w:w="3781"/>
      </w:tblGrid>
      <w:tr w:rsidR="00837091" w14:paraId="139EB6AE" w14:textId="77777777" w:rsidTr="008F2F62">
        <w:trPr>
          <w:jc w:val="center"/>
        </w:trPr>
        <w:tc>
          <w:tcPr>
            <w:tcW w:w="3732" w:type="dxa"/>
            <w:vAlign w:val="center"/>
          </w:tcPr>
          <w:bookmarkEnd w:id="0"/>
          <w:p w14:paraId="45A180C1" w14:textId="51C23B69" w:rsidR="00837091" w:rsidRDefault="002D7D62" w:rsidP="008F2F62">
            <w:pPr>
              <w:pStyle w:val="Corpsdetexte"/>
              <w:spacing w:before="0" w:after="0"/>
              <w:jc w:val="center"/>
            </w:pPr>
            <w:r w:rsidRPr="00AC0B72">
              <w:rPr>
                <w:noProof/>
              </w:rPr>
              <w:drawing>
                <wp:inline distT="0" distB="0" distL="0" distR="0" wp14:anchorId="236DFCBE" wp14:editId="356DB9F3">
                  <wp:extent cx="2116156" cy="708012"/>
                  <wp:effectExtent l="0" t="0" r="0" b="0"/>
                  <wp:docPr id="11" name="Image 5">
                    <a:extLst xmlns:a="http://schemas.openxmlformats.org/drawingml/2006/main">
                      <a:ext uri="{FF2B5EF4-FFF2-40B4-BE49-F238E27FC236}">
                        <a16:creationId xmlns:a16="http://schemas.microsoft.com/office/drawing/2014/main" id="{3692D593-9F7A-4320-B052-32029D2FDCC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5">
                            <a:extLst>
                              <a:ext uri="{FF2B5EF4-FFF2-40B4-BE49-F238E27FC236}">
                                <a16:creationId xmlns:a16="http://schemas.microsoft.com/office/drawing/2014/main" id="{3692D593-9F7A-4320-B052-32029D2FDCCE}"/>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16156" cy="708012"/>
                          </a:xfrm>
                          <a:prstGeom prst="rect">
                            <a:avLst/>
                          </a:prstGeom>
                        </pic:spPr>
                      </pic:pic>
                    </a:graphicData>
                  </a:graphic>
                </wp:inline>
              </w:drawing>
            </w:r>
          </w:p>
        </w:tc>
        <w:tc>
          <w:tcPr>
            <w:tcW w:w="3781" w:type="dxa"/>
            <w:vAlign w:val="center"/>
          </w:tcPr>
          <w:p w14:paraId="41F24B08" w14:textId="215BA618" w:rsidR="00837091" w:rsidRDefault="00B17E62" w:rsidP="008F2F62">
            <w:pPr>
              <w:pStyle w:val="Corpsdetexte"/>
              <w:spacing w:before="120" w:after="0"/>
              <w:jc w:val="center"/>
            </w:pPr>
            <w:r>
              <w:rPr>
                <w:noProof/>
              </w:rPr>
              <w:drawing>
                <wp:inline distT="0" distB="0" distL="0" distR="0" wp14:anchorId="53FFB551" wp14:editId="13DBD306">
                  <wp:extent cx="1468105" cy="1252636"/>
                  <wp:effectExtent l="0" t="0" r="0" b="5080"/>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68105" cy="1252636"/>
                          </a:xfrm>
                          <a:prstGeom prst="rect">
                            <a:avLst/>
                          </a:prstGeom>
                        </pic:spPr>
                      </pic:pic>
                    </a:graphicData>
                  </a:graphic>
                </wp:inline>
              </w:drawing>
            </w:r>
          </w:p>
          <w:p w14:paraId="5FD54401" w14:textId="06E1E259" w:rsidR="00A10FFA" w:rsidRPr="00A10FFA" w:rsidRDefault="00B17E62" w:rsidP="00A10FFA">
            <w:pPr>
              <w:pStyle w:val="Corpsdetexte"/>
              <w:spacing w:before="120" w:after="0"/>
              <w:jc w:val="center"/>
              <w:rPr>
                <w:b/>
                <w:bCs/>
              </w:rPr>
            </w:pPr>
            <w:r>
              <w:rPr>
                <w:b/>
                <w:bCs/>
              </w:rPr>
              <w:t>Vosges</w:t>
            </w:r>
          </w:p>
        </w:tc>
      </w:tr>
    </w:tbl>
    <w:p w14:paraId="46F2D66A" w14:textId="6631D1AB" w:rsidR="008F2F62" w:rsidRDefault="008F2F62" w:rsidP="008F2F62">
      <w:pPr>
        <w:pStyle w:val="Corpsdetexte"/>
        <w:spacing w:before="0" w:after="0"/>
      </w:pPr>
    </w:p>
    <w:tbl>
      <w:tblPr>
        <w:tblW w:w="9391" w:type="dxa"/>
        <w:tblCellMar>
          <w:left w:w="70" w:type="dxa"/>
          <w:right w:w="70" w:type="dxa"/>
        </w:tblCellMar>
        <w:tblLook w:val="04A0" w:firstRow="1" w:lastRow="0" w:firstColumn="1" w:lastColumn="0" w:noHBand="0" w:noVBand="1"/>
      </w:tblPr>
      <w:tblGrid>
        <w:gridCol w:w="4706"/>
        <w:gridCol w:w="2268"/>
        <w:gridCol w:w="907"/>
        <w:gridCol w:w="1510"/>
      </w:tblGrid>
      <w:tr w:rsidR="00B17E62" w:rsidRPr="008F2F62" w14:paraId="5EC92056" w14:textId="77777777" w:rsidTr="00B17E62">
        <w:trPr>
          <w:trHeight w:val="270"/>
        </w:trPr>
        <w:tc>
          <w:tcPr>
            <w:tcW w:w="4706" w:type="dxa"/>
            <w:tcBorders>
              <w:top w:val="nil"/>
              <w:left w:val="nil"/>
              <w:bottom w:val="single" w:sz="4" w:space="0" w:color="D2D2D2"/>
              <w:right w:val="nil"/>
            </w:tcBorders>
            <w:shd w:val="clear" w:color="000000" w:fill="FFFFFF"/>
            <w:noWrap/>
            <w:vAlign w:val="center"/>
            <w:hideMark/>
          </w:tcPr>
          <w:p w14:paraId="65818734" w14:textId="15BB9E33" w:rsidR="00B17E62" w:rsidRPr="008F2F62" w:rsidRDefault="00B17E62" w:rsidP="00B17E62">
            <w:pPr>
              <w:spacing w:line="240" w:lineRule="auto"/>
              <w:jc w:val="right"/>
              <w:rPr>
                <w:rFonts w:ascii="Century Gothic" w:eastAsia="Times New Roman" w:hAnsi="Century Gothic" w:cs="Times New Roman"/>
                <w:color w:val="323232"/>
                <w:szCs w:val="20"/>
                <w:lang w:eastAsia="fr-FR"/>
              </w:rPr>
            </w:pPr>
            <w:r w:rsidRPr="008F2F62">
              <w:rPr>
                <w:rFonts w:ascii="Century Gothic" w:eastAsia="Times New Roman" w:hAnsi="Century Gothic" w:cs="Times New Roman"/>
                <w:color w:val="323232"/>
                <w:szCs w:val="20"/>
                <w:lang w:eastAsia="fr-FR"/>
              </w:rPr>
              <w:t>Population 20</w:t>
            </w:r>
            <w:r>
              <w:rPr>
                <w:rFonts w:ascii="Century Gothic" w:eastAsia="Times New Roman" w:hAnsi="Century Gothic" w:cs="Times New Roman"/>
                <w:color w:val="323232"/>
                <w:szCs w:val="20"/>
                <w:lang w:eastAsia="fr-FR"/>
              </w:rPr>
              <w:t>20</w:t>
            </w:r>
          </w:p>
        </w:tc>
        <w:tc>
          <w:tcPr>
            <w:tcW w:w="2268" w:type="dxa"/>
            <w:tcBorders>
              <w:top w:val="nil"/>
              <w:left w:val="nil"/>
              <w:bottom w:val="single" w:sz="4" w:space="0" w:color="D2D2D2"/>
              <w:right w:val="nil"/>
            </w:tcBorders>
            <w:shd w:val="clear" w:color="000000" w:fill="FFFFFF"/>
            <w:noWrap/>
            <w:vAlign w:val="center"/>
            <w:hideMark/>
          </w:tcPr>
          <w:p w14:paraId="352CD27F" w14:textId="0E63DF97" w:rsidR="00B17E62" w:rsidRPr="00B17E62" w:rsidRDefault="00B17E62" w:rsidP="00B17E62">
            <w:pPr>
              <w:spacing w:line="240" w:lineRule="auto"/>
              <w:jc w:val="center"/>
              <w:rPr>
                <w:rFonts w:ascii="Century Gothic" w:eastAsia="Times New Roman" w:hAnsi="Century Gothic" w:cs="Times New Roman"/>
                <w:b/>
                <w:bCs/>
                <w:color w:val="1598D9" w:themeColor="accent2"/>
                <w:szCs w:val="20"/>
                <w:lang w:eastAsia="fr-FR"/>
              </w:rPr>
            </w:pPr>
            <w:r w:rsidRPr="00B17E62">
              <w:rPr>
                <w:b/>
                <w:bCs/>
                <w:color w:val="1598D9" w:themeColor="accent2"/>
              </w:rPr>
              <w:t>362 886 (- 0,5 %)</w:t>
            </w:r>
          </w:p>
        </w:tc>
        <w:tc>
          <w:tcPr>
            <w:tcW w:w="907" w:type="dxa"/>
            <w:tcBorders>
              <w:top w:val="nil"/>
              <w:left w:val="nil"/>
              <w:bottom w:val="single" w:sz="4" w:space="0" w:color="D2D2D2"/>
              <w:right w:val="nil"/>
            </w:tcBorders>
            <w:shd w:val="clear" w:color="000000" w:fill="FFFFFF"/>
            <w:noWrap/>
            <w:vAlign w:val="center"/>
            <w:hideMark/>
          </w:tcPr>
          <w:p w14:paraId="13942E9A" w14:textId="21E981B8" w:rsidR="00B17E62" w:rsidRPr="00B17E62" w:rsidRDefault="00B17E62" w:rsidP="00B17E62">
            <w:pPr>
              <w:spacing w:line="240" w:lineRule="auto"/>
              <w:jc w:val="center"/>
              <w:rPr>
                <w:rFonts w:ascii="Century Gothic" w:eastAsia="Times New Roman" w:hAnsi="Century Gothic" w:cs="Times New Roman"/>
                <w:b/>
                <w:bCs/>
                <w:color w:val="005293" w:themeColor="accent1"/>
                <w:szCs w:val="20"/>
                <w:lang w:eastAsia="fr-FR"/>
              </w:rPr>
            </w:pPr>
            <w:r w:rsidRPr="00B17E62">
              <w:rPr>
                <w:b/>
                <w:bCs/>
                <w:color w:val="005293" w:themeColor="accent1"/>
              </w:rPr>
              <w:t>6,5 %</w:t>
            </w:r>
          </w:p>
        </w:tc>
        <w:tc>
          <w:tcPr>
            <w:tcW w:w="1510" w:type="dxa"/>
            <w:vMerge w:val="restart"/>
            <w:tcBorders>
              <w:top w:val="nil"/>
              <w:left w:val="nil"/>
              <w:bottom w:val="nil"/>
              <w:right w:val="nil"/>
            </w:tcBorders>
            <w:shd w:val="clear" w:color="000000" w:fill="D9D9D9"/>
            <w:vAlign w:val="center"/>
            <w:hideMark/>
          </w:tcPr>
          <w:p w14:paraId="36CC82F7" w14:textId="641D4A12" w:rsidR="00B17E62" w:rsidRPr="008F2F62" w:rsidRDefault="00B17E62" w:rsidP="00B17E62">
            <w:pPr>
              <w:spacing w:line="240" w:lineRule="auto"/>
              <w:rPr>
                <w:rFonts w:ascii="Century Gothic" w:eastAsia="Times New Roman" w:hAnsi="Century Gothic" w:cs="Times New Roman"/>
                <w:b/>
                <w:bCs/>
                <w:color w:val="FFFFFF"/>
                <w:szCs w:val="20"/>
                <w:lang w:eastAsia="fr-FR"/>
              </w:rPr>
            </w:pPr>
            <w:r w:rsidRPr="008F2F62">
              <w:rPr>
                <w:rFonts w:ascii="Century Gothic" w:eastAsia="Times New Roman" w:hAnsi="Century Gothic" w:cs="Times New Roman"/>
                <w:b/>
                <w:bCs/>
                <w:color w:val="005293" w:themeColor="accent1"/>
                <w:szCs w:val="20"/>
                <w:lang w:eastAsia="fr-FR"/>
              </w:rPr>
              <w:t>Part département dans la Région Grand Est (20</w:t>
            </w:r>
            <w:r>
              <w:rPr>
                <w:rFonts w:ascii="Century Gothic" w:eastAsia="Times New Roman" w:hAnsi="Century Gothic" w:cs="Times New Roman"/>
                <w:b/>
                <w:bCs/>
                <w:color w:val="005293" w:themeColor="accent1"/>
                <w:szCs w:val="20"/>
                <w:lang w:eastAsia="fr-FR"/>
              </w:rPr>
              <w:t>20</w:t>
            </w:r>
            <w:r w:rsidRPr="008F2F62">
              <w:rPr>
                <w:rFonts w:ascii="Century Gothic" w:eastAsia="Times New Roman" w:hAnsi="Century Gothic" w:cs="Times New Roman"/>
                <w:b/>
                <w:bCs/>
                <w:color w:val="005293" w:themeColor="accent1"/>
                <w:szCs w:val="20"/>
                <w:lang w:eastAsia="fr-FR"/>
              </w:rPr>
              <w:t>)</w:t>
            </w:r>
          </w:p>
        </w:tc>
      </w:tr>
      <w:tr w:rsidR="00B17E62" w:rsidRPr="008F2F62" w14:paraId="78CE9338" w14:textId="77777777" w:rsidTr="00B17E62">
        <w:trPr>
          <w:trHeight w:val="270"/>
        </w:trPr>
        <w:tc>
          <w:tcPr>
            <w:tcW w:w="4706" w:type="dxa"/>
            <w:tcBorders>
              <w:top w:val="nil"/>
              <w:left w:val="nil"/>
              <w:bottom w:val="single" w:sz="4" w:space="0" w:color="D2D2D2"/>
              <w:right w:val="nil"/>
            </w:tcBorders>
            <w:shd w:val="clear" w:color="000000" w:fill="FFFFFF"/>
            <w:noWrap/>
            <w:vAlign w:val="center"/>
            <w:hideMark/>
          </w:tcPr>
          <w:p w14:paraId="64EA5E94" w14:textId="5FC8F3F2" w:rsidR="00B17E62" w:rsidRPr="008F2F62" w:rsidRDefault="00B17E62" w:rsidP="00B17E62">
            <w:pPr>
              <w:spacing w:line="240" w:lineRule="auto"/>
              <w:jc w:val="right"/>
              <w:rPr>
                <w:rFonts w:ascii="Century Gothic" w:eastAsia="Times New Roman" w:hAnsi="Century Gothic" w:cs="Times New Roman"/>
                <w:color w:val="323232"/>
                <w:szCs w:val="20"/>
                <w:lang w:eastAsia="fr-FR"/>
              </w:rPr>
            </w:pPr>
            <w:r w:rsidRPr="008F2F62">
              <w:rPr>
                <w:rFonts w:ascii="Century Gothic" w:eastAsia="Times New Roman" w:hAnsi="Century Gothic" w:cs="Times New Roman"/>
                <w:color w:val="323232"/>
                <w:szCs w:val="20"/>
                <w:lang w:eastAsia="fr-FR"/>
              </w:rPr>
              <w:t>Nombre de salariés 20</w:t>
            </w:r>
            <w:r>
              <w:rPr>
                <w:rFonts w:ascii="Century Gothic" w:eastAsia="Times New Roman" w:hAnsi="Century Gothic" w:cs="Times New Roman"/>
                <w:color w:val="323232"/>
                <w:szCs w:val="20"/>
                <w:lang w:eastAsia="fr-FR"/>
              </w:rPr>
              <w:t>20</w:t>
            </w:r>
          </w:p>
        </w:tc>
        <w:tc>
          <w:tcPr>
            <w:tcW w:w="2268" w:type="dxa"/>
            <w:tcBorders>
              <w:top w:val="nil"/>
              <w:left w:val="nil"/>
              <w:bottom w:val="single" w:sz="4" w:space="0" w:color="D2D2D2"/>
              <w:right w:val="nil"/>
            </w:tcBorders>
            <w:shd w:val="clear" w:color="000000" w:fill="FFFFFF"/>
            <w:noWrap/>
            <w:vAlign w:val="center"/>
            <w:hideMark/>
          </w:tcPr>
          <w:p w14:paraId="0E3B3DB8" w14:textId="3BE1D6B7" w:rsidR="00B17E62" w:rsidRPr="00B17E62" w:rsidRDefault="00B17E62" w:rsidP="00B17E62">
            <w:pPr>
              <w:spacing w:line="240" w:lineRule="auto"/>
              <w:jc w:val="center"/>
              <w:rPr>
                <w:rFonts w:ascii="Century Gothic" w:eastAsia="Times New Roman" w:hAnsi="Century Gothic" w:cs="Times New Roman"/>
                <w:b/>
                <w:bCs/>
                <w:color w:val="1598D9" w:themeColor="accent2"/>
                <w:szCs w:val="20"/>
                <w:lang w:eastAsia="fr-FR"/>
              </w:rPr>
            </w:pPr>
            <w:r w:rsidRPr="00B17E62">
              <w:rPr>
                <w:b/>
                <w:bCs/>
                <w:color w:val="1598D9" w:themeColor="accent2"/>
              </w:rPr>
              <w:t>119 362 (- 0,3 %)</w:t>
            </w:r>
          </w:p>
        </w:tc>
        <w:tc>
          <w:tcPr>
            <w:tcW w:w="907" w:type="dxa"/>
            <w:tcBorders>
              <w:top w:val="nil"/>
              <w:left w:val="nil"/>
              <w:bottom w:val="single" w:sz="4" w:space="0" w:color="D2D2D2"/>
              <w:right w:val="nil"/>
            </w:tcBorders>
            <w:shd w:val="clear" w:color="000000" w:fill="FFFFFF"/>
            <w:noWrap/>
            <w:vAlign w:val="center"/>
            <w:hideMark/>
          </w:tcPr>
          <w:p w14:paraId="11BB692E" w14:textId="58BEB9E1" w:rsidR="00B17E62" w:rsidRPr="00B17E62" w:rsidRDefault="00B17E62" w:rsidP="00B17E62">
            <w:pPr>
              <w:spacing w:line="240" w:lineRule="auto"/>
              <w:jc w:val="center"/>
              <w:rPr>
                <w:rFonts w:ascii="Century Gothic" w:eastAsia="Times New Roman" w:hAnsi="Century Gothic" w:cs="Times New Roman"/>
                <w:b/>
                <w:bCs/>
                <w:color w:val="005293" w:themeColor="accent1"/>
                <w:szCs w:val="20"/>
                <w:lang w:eastAsia="fr-FR"/>
              </w:rPr>
            </w:pPr>
            <w:r w:rsidRPr="00B17E62">
              <w:rPr>
                <w:b/>
                <w:bCs/>
                <w:color w:val="005293" w:themeColor="accent1"/>
              </w:rPr>
              <w:t>6,2 %</w:t>
            </w:r>
          </w:p>
        </w:tc>
        <w:tc>
          <w:tcPr>
            <w:tcW w:w="1510" w:type="dxa"/>
            <w:vMerge/>
            <w:tcBorders>
              <w:top w:val="nil"/>
              <w:left w:val="nil"/>
              <w:bottom w:val="nil"/>
              <w:right w:val="nil"/>
            </w:tcBorders>
            <w:vAlign w:val="center"/>
            <w:hideMark/>
          </w:tcPr>
          <w:p w14:paraId="5DBEB910" w14:textId="77777777" w:rsidR="00B17E62" w:rsidRPr="008F2F62" w:rsidRDefault="00B17E62" w:rsidP="00B17E62">
            <w:pPr>
              <w:spacing w:line="240" w:lineRule="auto"/>
              <w:rPr>
                <w:rFonts w:ascii="Century Gothic" w:eastAsia="Times New Roman" w:hAnsi="Century Gothic" w:cs="Times New Roman"/>
                <w:b/>
                <w:bCs/>
                <w:color w:val="FFFFFF"/>
                <w:szCs w:val="20"/>
                <w:lang w:eastAsia="fr-FR"/>
              </w:rPr>
            </w:pPr>
          </w:p>
        </w:tc>
      </w:tr>
      <w:tr w:rsidR="00B17E62" w:rsidRPr="008F2F62" w14:paraId="6C3DD9D7" w14:textId="77777777" w:rsidTr="00B17E62">
        <w:trPr>
          <w:trHeight w:val="270"/>
        </w:trPr>
        <w:tc>
          <w:tcPr>
            <w:tcW w:w="4706" w:type="dxa"/>
            <w:tcBorders>
              <w:top w:val="nil"/>
              <w:left w:val="nil"/>
              <w:bottom w:val="single" w:sz="4" w:space="0" w:color="D2D2D2"/>
              <w:right w:val="nil"/>
            </w:tcBorders>
            <w:shd w:val="clear" w:color="000000" w:fill="FFFFFF"/>
            <w:noWrap/>
            <w:vAlign w:val="center"/>
            <w:hideMark/>
          </w:tcPr>
          <w:p w14:paraId="27F2C794" w14:textId="6FC012AD" w:rsidR="00B17E62" w:rsidRPr="008F2F62" w:rsidRDefault="00B17E62" w:rsidP="00B17E62">
            <w:pPr>
              <w:spacing w:line="240" w:lineRule="auto"/>
              <w:jc w:val="right"/>
              <w:rPr>
                <w:rFonts w:ascii="Century Gothic" w:eastAsia="Times New Roman" w:hAnsi="Century Gothic" w:cs="Times New Roman"/>
                <w:color w:val="323232"/>
                <w:szCs w:val="20"/>
                <w:lang w:eastAsia="fr-FR"/>
              </w:rPr>
            </w:pPr>
            <w:r w:rsidRPr="008F2F62">
              <w:rPr>
                <w:rFonts w:ascii="Century Gothic" w:eastAsia="Times New Roman" w:hAnsi="Century Gothic" w:cs="Times New Roman"/>
                <w:color w:val="323232"/>
                <w:szCs w:val="20"/>
                <w:lang w:eastAsia="fr-FR"/>
              </w:rPr>
              <w:t>Nombre d'établissements privés 20</w:t>
            </w:r>
            <w:r>
              <w:rPr>
                <w:rFonts w:ascii="Century Gothic" w:eastAsia="Times New Roman" w:hAnsi="Century Gothic" w:cs="Times New Roman"/>
                <w:color w:val="323232"/>
                <w:szCs w:val="20"/>
                <w:lang w:eastAsia="fr-FR"/>
              </w:rPr>
              <w:t>20</w:t>
            </w:r>
          </w:p>
        </w:tc>
        <w:tc>
          <w:tcPr>
            <w:tcW w:w="2268" w:type="dxa"/>
            <w:tcBorders>
              <w:top w:val="nil"/>
              <w:left w:val="nil"/>
              <w:bottom w:val="single" w:sz="4" w:space="0" w:color="D2D2D2"/>
              <w:right w:val="nil"/>
            </w:tcBorders>
            <w:shd w:val="clear" w:color="000000" w:fill="FFFFFF"/>
            <w:noWrap/>
            <w:vAlign w:val="center"/>
            <w:hideMark/>
          </w:tcPr>
          <w:p w14:paraId="27DF328A" w14:textId="692F9EB1" w:rsidR="00B17E62" w:rsidRPr="00B17E62" w:rsidRDefault="00B17E62" w:rsidP="00B17E62">
            <w:pPr>
              <w:spacing w:line="240" w:lineRule="auto"/>
              <w:jc w:val="center"/>
              <w:rPr>
                <w:rFonts w:ascii="Century Gothic" w:eastAsia="Times New Roman" w:hAnsi="Century Gothic" w:cs="Times New Roman"/>
                <w:b/>
                <w:bCs/>
                <w:color w:val="1598D9" w:themeColor="accent2"/>
                <w:szCs w:val="20"/>
                <w:lang w:eastAsia="fr-FR"/>
              </w:rPr>
            </w:pPr>
            <w:r w:rsidRPr="00B17E62">
              <w:rPr>
                <w:b/>
                <w:bCs/>
                <w:color w:val="1598D9" w:themeColor="accent2"/>
              </w:rPr>
              <w:t>8 972 (- 0,5 %)</w:t>
            </w:r>
          </w:p>
        </w:tc>
        <w:tc>
          <w:tcPr>
            <w:tcW w:w="907" w:type="dxa"/>
            <w:tcBorders>
              <w:top w:val="nil"/>
              <w:left w:val="nil"/>
              <w:bottom w:val="single" w:sz="4" w:space="0" w:color="D2D2D2"/>
              <w:right w:val="nil"/>
            </w:tcBorders>
            <w:shd w:val="clear" w:color="000000" w:fill="FFFFFF"/>
            <w:noWrap/>
            <w:vAlign w:val="center"/>
            <w:hideMark/>
          </w:tcPr>
          <w:p w14:paraId="38A28D55" w14:textId="74ED739A" w:rsidR="00B17E62" w:rsidRPr="00B17E62" w:rsidRDefault="00B17E62" w:rsidP="00B17E62">
            <w:pPr>
              <w:spacing w:line="240" w:lineRule="auto"/>
              <w:jc w:val="center"/>
              <w:rPr>
                <w:rFonts w:ascii="Century Gothic" w:eastAsia="Times New Roman" w:hAnsi="Century Gothic" w:cs="Times New Roman"/>
                <w:b/>
                <w:bCs/>
                <w:color w:val="005293" w:themeColor="accent1"/>
                <w:szCs w:val="20"/>
                <w:lang w:eastAsia="fr-FR"/>
              </w:rPr>
            </w:pPr>
            <w:r w:rsidRPr="00B17E62">
              <w:rPr>
                <w:b/>
                <w:bCs/>
                <w:color w:val="005293" w:themeColor="accent1"/>
              </w:rPr>
              <w:t>6,9 %</w:t>
            </w:r>
          </w:p>
        </w:tc>
        <w:tc>
          <w:tcPr>
            <w:tcW w:w="1510" w:type="dxa"/>
            <w:vMerge/>
            <w:tcBorders>
              <w:top w:val="nil"/>
              <w:left w:val="nil"/>
              <w:bottom w:val="nil"/>
              <w:right w:val="nil"/>
            </w:tcBorders>
            <w:vAlign w:val="center"/>
            <w:hideMark/>
          </w:tcPr>
          <w:p w14:paraId="4F14CE5E" w14:textId="77777777" w:rsidR="00B17E62" w:rsidRPr="008F2F62" w:rsidRDefault="00B17E62" w:rsidP="00B17E62">
            <w:pPr>
              <w:spacing w:line="240" w:lineRule="auto"/>
              <w:rPr>
                <w:rFonts w:ascii="Century Gothic" w:eastAsia="Times New Roman" w:hAnsi="Century Gothic" w:cs="Times New Roman"/>
                <w:b/>
                <w:bCs/>
                <w:color w:val="FFFFFF"/>
                <w:szCs w:val="20"/>
                <w:lang w:eastAsia="fr-FR"/>
              </w:rPr>
            </w:pPr>
          </w:p>
        </w:tc>
      </w:tr>
      <w:tr w:rsidR="00B17E62" w:rsidRPr="008F2F62" w14:paraId="340F9EA3" w14:textId="77777777" w:rsidTr="00B17E62">
        <w:trPr>
          <w:trHeight w:val="270"/>
        </w:trPr>
        <w:tc>
          <w:tcPr>
            <w:tcW w:w="4706" w:type="dxa"/>
            <w:tcBorders>
              <w:top w:val="nil"/>
              <w:left w:val="nil"/>
              <w:bottom w:val="single" w:sz="4" w:space="0" w:color="D2D2D2"/>
              <w:right w:val="nil"/>
            </w:tcBorders>
            <w:shd w:val="clear" w:color="000000" w:fill="FFFFFF"/>
            <w:noWrap/>
            <w:vAlign w:val="center"/>
            <w:hideMark/>
          </w:tcPr>
          <w:p w14:paraId="1BDB0A50" w14:textId="6E453C44" w:rsidR="00B17E62" w:rsidRPr="008F2F62" w:rsidRDefault="00B17E62" w:rsidP="00B17E62">
            <w:pPr>
              <w:spacing w:line="240" w:lineRule="auto"/>
              <w:jc w:val="right"/>
              <w:rPr>
                <w:rFonts w:ascii="Century Gothic" w:eastAsia="Times New Roman" w:hAnsi="Century Gothic" w:cs="Times New Roman"/>
                <w:color w:val="323232"/>
                <w:szCs w:val="20"/>
                <w:lang w:eastAsia="fr-FR"/>
              </w:rPr>
            </w:pPr>
            <w:r w:rsidRPr="008F2F62">
              <w:rPr>
                <w:rFonts w:ascii="Century Gothic" w:eastAsia="Times New Roman" w:hAnsi="Century Gothic" w:cs="Times New Roman"/>
                <w:color w:val="323232"/>
                <w:szCs w:val="20"/>
                <w:lang w:eastAsia="fr-FR"/>
              </w:rPr>
              <w:t>Tonnages DAEndni produits 20</w:t>
            </w:r>
            <w:r>
              <w:rPr>
                <w:rFonts w:ascii="Century Gothic" w:eastAsia="Times New Roman" w:hAnsi="Century Gothic" w:cs="Times New Roman"/>
                <w:color w:val="323232"/>
                <w:szCs w:val="20"/>
                <w:lang w:eastAsia="fr-FR"/>
              </w:rPr>
              <w:t>20</w:t>
            </w:r>
          </w:p>
        </w:tc>
        <w:tc>
          <w:tcPr>
            <w:tcW w:w="2268" w:type="dxa"/>
            <w:tcBorders>
              <w:top w:val="nil"/>
              <w:left w:val="nil"/>
              <w:bottom w:val="single" w:sz="4" w:space="0" w:color="D2D2D2"/>
              <w:right w:val="nil"/>
            </w:tcBorders>
            <w:shd w:val="clear" w:color="000000" w:fill="FFFFFF"/>
            <w:noWrap/>
            <w:vAlign w:val="center"/>
            <w:hideMark/>
          </w:tcPr>
          <w:p w14:paraId="3D27669F" w14:textId="3C73476E" w:rsidR="00B17E62" w:rsidRPr="00B17E62" w:rsidRDefault="00B17E62" w:rsidP="00B17E62">
            <w:pPr>
              <w:spacing w:line="240" w:lineRule="auto"/>
              <w:jc w:val="center"/>
              <w:rPr>
                <w:rFonts w:ascii="Century Gothic" w:eastAsia="Times New Roman" w:hAnsi="Century Gothic" w:cs="Times New Roman"/>
                <w:b/>
                <w:bCs/>
                <w:color w:val="1598D9" w:themeColor="accent2"/>
                <w:szCs w:val="20"/>
                <w:lang w:eastAsia="fr-FR"/>
              </w:rPr>
            </w:pPr>
            <w:r w:rsidRPr="00B17E62">
              <w:rPr>
                <w:b/>
                <w:bCs/>
                <w:color w:val="1598D9" w:themeColor="accent2"/>
              </w:rPr>
              <w:t>431 092 (+ 0,0 %)</w:t>
            </w:r>
          </w:p>
        </w:tc>
        <w:tc>
          <w:tcPr>
            <w:tcW w:w="907" w:type="dxa"/>
            <w:tcBorders>
              <w:top w:val="nil"/>
              <w:left w:val="nil"/>
              <w:bottom w:val="single" w:sz="4" w:space="0" w:color="D2D2D2"/>
              <w:right w:val="nil"/>
            </w:tcBorders>
            <w:shd w:val="clear" w:color="000000" w:fill="FFFFFF"/>
            <w:noWrap/>
            <w:vAlign w:val="center"/>
            <w:hideMark/>
          </w:tcPr>
          <w:p w14:paraId="2B98A726" w14:textId="59FA8EAB" w:rsidR="00B17E62" w:rsidRPr="00B17E62" w:rsidRDefault="00B17E62" w:rsidP="00B17E62">
            <w:pPr>
              <w:spacing w:line="240" w:lineRule="auto"/>
              <w:jc w:val="center"/>
              <w:rPr>
                <w:rFonts w:ascii="Century Gothic" w:eastAsia="Times New Roman" w:hAnsi="Century Gothic" w:cs="Times New Roman"/>
                <w:b/>
                <w:bCs/>
                <w:color w:val="005293" w:themeColor="accent1"/>
                <w:szCs w:val="20"/>
                <w:lang w:eastAsia="fr-FR"/>
              </w:rPr>
            </w:pPr>
            <w:r w:rsidRPr="00B17E62">
              <w:rPr>
                <w:b/>
                <w:bCs/>
                <w:color w:val="005293" w:themeColor="accent1"/>
              </w:rPr>
              <w:t>8,7 %</w:t>
            </w:r>
          </w:p>
        </w:tc>
        <w:tc>
          <w:tcPr>
            <w:tcW w:w="1510" w:type="dxa"/>
            <w:vMerge/>
            <w:tcBorders>
              <w:top w:val="nil"/>
              <w:left w:val="nil"/>
              <w:bottom w:val="nil"/>
              <w:right w:val="nil"/>
            </w:tcBorders>
            <w:vAlign w:val="center"/>
            <w:hideMark/>
          </w:tcPr>
          <w:p w14:paraId="1A5117ED" w14:textId="77777777" w:rsidR="00B17E62" w:rsidRPr="008F2F62" w:rsidRDefault="00B17E62" w:rsidP="00B17E62">
            <w:pPr>
              <w:spacing w:line="240" w:lineRule="auto"/>
              <w:rPr>
                <w:rFonts w:ascii="Century Gothic" w:eastAsia="Times New Roman" w:hAnsi="Century Gothic" w:cs="Times New Roman"/>
                <w:b/>
                <w:bCs/>
                <w:color w:val="FFFFFF"/>
                <w:szCs w:val="20"/>
                <w:lang w:eastAsia="fr-FR"/>
              </w:rPr>
            </w:pPr>
          </w:p>
        </w:tc>
      </w:tr>
      <w:tr w:rsidR="00B17E62" w:rsidRPr="008F2F62" w14:paraId="7AA4AF07" w14:textId="77777777" w:rsidTr="00B17E62">
        <w:trPr>
          <w:trHeight w:val="270"/>
        </w:trPr>
        <w:tc>
          <w:tcPr>
            <w:tcW w:w="4706" w:type="dxa"/>
            <w:tcBorders>
              <w:top w:val="nil"/>
              <w:left w:val="nil"/>
              <w:bottom w:val="single" w:sz="4" w:space="0" w:color="D2D2D2"/>
              <w:right w:val="nil"/>
            </w:tcBorders>
            <w:shd w:val="clear" w:color="000000" w:fill="FFFFFF"/>
            <w:noWrap/>
            <w:vAlign w:val="center"/>
            <w:hideMark/>
          </w:tcPr>
          <w:p w14:paraId="5645AE40" w14:textId="1EEC5BF2" w:rsidR="00B17E62" w:rsidRPr="008F2F62" w:rsidRDefault="00B17E62" w:rsidP="00B17E62">
            <w:pPr>
              <w:spacing w:line="240" w:lineRule="auto"/>
              <w:jc w:val="right"/>
              <w:rPr>
                <w:rFonts w:ascii="Century Gothic" w:eastAsia="Times New Roman" w:hAnsi="Century Gothic" w:cs="Times New Roman"/>
                <w:color w:val="323232"/>
                <w:szCs w:val="20"/>
                <w:lang w:eastAsia="fr-FR"/>
              </w:rPr>
            </w:pPr>
            <w:r w:rsidRPr="008F2F62">
              <w:rPr>
                <w:rFonts w:ascii="Century Gothic" w:eastAsia="Times New Roman" w:hAnsi="Century Gothic" w:cs="Times New Roman"/>
                <w:color w:val="323232"/>
                <w:szCs w:val="20"/>
                <w:lang w:eastAsia="fr-FR"/>
              </w:rPr>
              <w:t>Tonnages DAEndni traités 20</w:t>
            </w:r>
            <w:r>
              <w:rPr>
                <w:rFonts w:ascii="Century Gothic" w:eastAsia="Times New Roman" w:hAnsi="Century Gothic" w:cs="Times New Roman"/>
                <w:color w:val="323232"/>
                <w:szCs w:val="20"/>
                <w:lang w:eastAsia="fr-FR"/>
              </w:rPr>
              <w:t>20</w:t>
            </w:r>
          </w:p>
        </w:tc>
        <w:tc>
          <w:tcPr>
            <w:tcW w:w="2268" w:type="dxa"/>
            <w:tcBorders>
              <w:top w:val="nil"/>
              <w:left w:val="nil"/>
              <w:bottom w:val="single" w:sz="4" w:space="0" w:color="D2D2D2"/>
              <w:right w:val="nil"/>
            </w:tcBorders>
            <w:shd w:val="clear" w:color="000000" w:fill="FFFFFF"/>
            <w:noWrap/>
            <w:vAlign w:val="center"/>
            <w:hideMark/>
          </w:tcPr>
          <w:p w14:paraId="4A3AC1B0" w14:textId="44FE1082" w:rsidR="00B17E62" w:rsidRPr="00B17E62" w:rsidRDefault="00B17E62" w:rsidP="00B17E62">
            <w:pPr>
              <w:spacing w:line="240" w:lineRule="auto"/>
              <w:jc w:val="center"/>
              <w:rPr>
                <w:rFonts w:ascii="Century Gothic" w:eastAsia="Times New Roman" w:hAnsi="Century Gothic" w:cs="Times New Roman"/>
                <w:b/>
                <w:bCs/>
                <w:color w:val="1598D9" w:themeColor="accent2"/>
                <w:szCs w:val="20"/>
                <w:lang w:eastAsia="fr-FR"/>
              </w:rPr>
            </w:pPr>
            <w:r w:rsidRPr="00B17E62">
              <w:rPr>
                <w:b/>
                <w:bCs/>
                <w:color w:val="1598D9" w:themeColor="accent2"/>
              </w:rPr>
              <w:t>200 101 t</w:t>
            </w:r>
          </w:p>
        </w:tc>
        <w:tc>
          <w:tcPr>
            <w:tcW w:w="907" w:type="dxa"/>
            <w:tcBorders>
              <w:top w:val="nil"/>
              <w:left w:val="nil"/>
              <w:bottom w:val="single" w:sz="4" w:space="0" w:color="D2D2D2"/>
              <w:right w:val="nil"/>
            </w:tcBorders>
            <w:shd w:val="clear" w:color="000000" w:fill="FFFFFF"/>
            <w:noWrap/>
            <w:vAlign w:val="center"/>
            <w:hideMark/>
          </w:tcPr>
          <w:p w14:paraId="4B25611E" w14:textId="6ED698EF" w:rsidR="00B17E62" w:rsidRPr="00B17E62" w:rsidRDefault="00B17E62" w:rsidP="00B17E62">
            <w:pPr>
              <w:spacing w:line="240" w:lineRule="auto"/>
              <w:jc w:val="center"/>
              <w:rPr>
                <w:rFonts w:ascii="Century Gothic" w:eastAsia="Times New Roman" w:hAnsi="Century Gothic" w:cs="Times New Roman"/>
                <w:b/>
                <w:bCs/>
                <w:color w:val="005293" w:themeColor="accent1"/>
                <w:szCs w:val="20"/>
                <w:lang w:eastAsia="fr-FR"/>
              </w:rPr>
            </w:pPr>
            <w:r w:rsidRPr="00B17E62">
              <w:rPr>
                <w:b/>
                <w:bCs/>
                <w:color w:val="005293" w:themeColor="accent1"/>
              </w:rPr>
              <w:t>7,7 %</w:t>
            </w:r>
          </w:p>
        </w:tc>
        <w:tc>
          <w:tcPr>
            <w:tcW w:w="1510" w:type="dxa"/>
            <w:vMerge/>
            <w:tcBorders>
              <w:top w:val="nil"/>
              <w:left w:val="nil"/>
              <w:bottom w:val="nil"/>
              <w:right w:val="nil"/>
            </w:tcBorders>
            <w:vAlign w:val="center"/>
            <w:hideMark/>
          </w:tcPr>
          <w:p w14:paraId="740B901D" w14:textId="77777777" w:rsidR="00B17E62" w:rsidRPr="008F2F62" w:rsidRDefault="00B17E62" w:rsidP="00B17E62">
            <w:pPr>
              <w:spacing w:line="240" w:lineRule="auto"/>
              <w:rPr>
                <w:rFonts w:ascii="Century Gothic" w:eastAsia="Times New Roman" w:hAnsi="Century Gothic" w:cs="Times New Roman"/>
                <w:b/>
                <w:bCs/>
                <w:color w:val="FFFFFF"/>
                <w:szCs w:val="20"/>
                <w:lang w:eastAsia="fr-FR"/>
              </w:rPr>
            </w:pPr>
          </w:p>
        </w:tc>
      </w:tr>
      <w:tr w:rsidR="00B17E62" w:rsidRPr="008F2F62" w14:paraId="4CADD36E" w14:textId="77777777" w:rsidTr="00B17E62">
        <w:trPr>
          <w:trHeight w:val="270"/>
        </w:trPr>
        <w:tc>
          <w:tcPr>
            <w:tcW w:w="4706" w:type="dxa"/>
            <w:tcBorders>
              <w:top w:val="nil"/>
              <w:left w:val="nil"/>
              <w:bottom w:val="single" w:sz="4" w:space="0" w:color="D2D2D2"/>
              <w:right w:val="nil"/>
            </w:tcBorders>
            <w:shd w:val="clear" w:color="000000" w:fill="FFFFFF"/>
            <w:noWrap/>
            <w:vAlign w:val="center"/>
            <w:hideMark/>
          </w:tcPr>
          <w:p w14:paraId="1ADBA18C" w14:textId="2A1D311B" w:rsidR="00B17E62" w:rsidRPr="008F2F62" w:rsidRDefault="00B17E62" w:rsidP="00B17E62">
            <w:pPr>
              <w:spacing w:line="240" w:lineRule="auto"/>
              <w:jc w:val="right"/>
              <w:rPr>
                <w:rFonts w:ascii="Century Gothic" w:eastAsia="Times New Roman" w:hAnsi="Century Gothic" w:cs="Times New Roman"/>
                <w:color w:val="323232"/>
                <w:szCs w:val="20"/>
                <w:lang w:eastAsia="fr-FR"/>
              </w:rPr>
            </w:pPr>
            <w:r w:rsidRPr="008F2F62">
              <w:rPr>
                <w:rFonts w:ascii="Century Gothic" w:eastAsia="Times New Roman" w:hAnsi="Century Gothic" w:cs="Times New Roman"/>
                <w:color w:val="323232"/>
                <w:szCs w:val="20"/>
                <w:lang w:eastAsia="fr-FR"/>
              </w:rPr>
              <w:t>Taux de valorisation matière et organique 20</w:t>
            </w:r>
            <w:r>
              <w:rPr>
                <w:rFonts w:ascii="Century Gothic" w:eastAsia="Times New Roman" w:hAnsi="Century Gothic" w:cs="Times New Roman"/>
                <w:color w:val="323232"/>
                <w:szCs w:val="20"/>
                <w:lang w:eastAsia="fr-FR"/>
              </w:rPr>
              <w:t>20</w:t>
            </w:r>
          </w:p>
        </w:tc>
        <w:tc>
          <w:tcPr>
            <w:tcW w:w="2268" w:type="dxa"/>
            <w:tcBorders>
              <w:top w:val="nil"/>
              <w:left w:val="nil"/>
              <w:bottom w:val="single" w:sz="4" w:space="0" w:color="D2D2D2"/>
              <w:right w:val="nil"/>
            </w:tcBorders>
            <w:shd w:val="clear" w:color="000000" w:fill="FFFFFF"/>
            <w:noWrap/>
            <w:vAlign w:val="center"/>
            <w:hideMark/>
          </w:tcPr>
          <w:p w14:paraId="76D13107" w14:textId="13E1CD32" w:rsidR="00B17E62" w:rsidRPr="00B17E62" w:rsidRDefault="00B17E62" w:rsidP="00B17E62">
            <w:pPr>
              <w:spacing w:line="240" w:lineRule="auto"/>
              <w:jc w:val="center"/>
              <w:rPr>
                <w:rFonts w:ascii="Century Gothic" w:eastAsia="Times New Roman" w:hAnsi="Century Gothic" w:cs="Times New Roman"/>
                <w:b/>
                <w:bCs/>
                <w:color w:val="1598D9" w:themeColor="accent2"/>
                <w:szCs w:val="20"/>
                <w:lang w:eastAsia="fr-FR"/>
              </w:rPr>
            </w:pPr>
            <w:r w:rsidRPr="00B17E62">
              <w:rPr>
                <w:b/>
                <w:bCs/>
                <w:color w:val="1598D9" w:themeColor="accent2"/>
              </w:rPr>
              <w:t>71 %</w:t>
            </w:r>
          </w:p>
        </w:tc>
        <w:tc>
          <w:tcPr>
            <w:tcW w:w="907" w:type="dxa"/>
            <w:tcBorders>
              <w:top w:val="nil"/>
              <w:left w:val="nil"/>
              <w:bottom w:val="single" w:sz="4" w:space="0" w:color="D2D2D2"/>
              <w:right w:val="nil"/>
            </w:tcBorders>
            <w:shd w:val="clear" w:color="000000" w:fill="FFFFFF"/>
            <w:noWrap/>
            <w:vAlign w:val="center"/>
            <w:hideMark/>
          </w:tcPr>
          <w:p w14:paraId="5252CA16" w14:textId="343EC8EF" w:rsidR="00B17E62" w:rsidRPr="00B17E62" w:rsidRDefault="00B17E62" w:rsidP="00B17E62">
            <w:pPr>
              <w:spacing w:line="240" w:lineRule="auto"/>
              <w:jc w:val="center"/>
              <w:rPr>
                <w:rFonts w:ascii="Century Gothic" w:eastAsia="Times New Roman" w:hAnsi="Century Gothic" w:cs="Times New Roman"/>
                <w:b/>
                <w:bCs/>
                <w:color w:val="005293" w:themeColor="accent1"/>
                <w:szCs w:val="20"/>
                <w:lang w:eastAsia="fr-FR"/>
              </w:rPr>
            </w:pPr>
            <w:r w:rsidRPr="00B17E62">
              <w:rPr>
                <w:b/>
                <w:bCs/>
                <w:color w:val="005293" w:themeColor="accent1"/>
              </w:rPr>
              <w:t>70 %</w:t>
            </w:r>
          </w:p>
        </w:tc>
        <w:tc>
          <w:tcPr>
            <w:tcW w:w="1510" w:type="dxa"/>
            <w:vMerge w:val="restart"/>
            <w:tcBorders>
              <w:top w:val="nil"/>
              <w:left w:val="nil"/>
              <w:bottom w:val="nil"/>
              <w:right w:val="nil"/>
            </w:tcBorders>
            <w:shd w:val="clear" w:color="000000" w:fill="FFFFFF"/>
            <w:vAlign w:val="center"/>
            <w:hideMark/>
          </w:tcPr>
          <w:p w14:paraId="4D1F813D" w14:textId="5615DB01" w:rsidR="00B17E62" w:rsidRPr="008F2F62" w:rsidRDefault="00B17E62" w:rsidP="00B17E62">
            <w:pPr>
              <w:spacing w:line="240" w:lineRule="auto"/>
              <w:rPr>
                <w:rFonts w:ascii="Century Gothic" w:eastAsia="Times New Roman" w:hAnsi="Century Gothic" w:cs="Times New Roman"/>
                <w:color w:val="323232"/>
                <w:szCs w:val="20"/>
                <w:lang w:eastAsia="fr-FR"/>
              </w:rPr>
            </w:pPr>
            <w:r w:rsidRPr="008F2F62">
              <w:rPr>
                <w:rFonts w:ascii="Century Gothic" w:eastAsia="Times New Roman" w:hAnsi="Century Gothic" w:cs="Times New Roman"/>
                <w:color w:val="005293" w:themeColor="accent1"/>
                <w:szCs w:val="20"/>
                <w:lang w:eastAsia="fr-FR"/>
              </w:rPr>
              <w:t>Valeur Grand Est (20</w:t>
            </w:r>
            <w:r>
              <w:rPr>
                <w:rFonts w:ascii="Century Gothic" w:eastAsia="Times New Roman" w:hAnsi="Century Gothic" w:cs="Times New Roman"/>
                <w:color w:val="005293" w:themeColor="accent1"/>
                <w:szCs w:val="20"/>
                <w:lang w:eastAsia="fr-FR"/>
              </w:rPr>
              <w:t>20</w:t>
            </w:r>
            <w:r w:rsidRPr="008F2F62">
              <w:rPr>
                <w:rFonts w:ascii="Century Gothic" w:eastAsia="Times New Roman" w:hAnsi="Century Gothic" w:cs="Times New Roman"/>
                <w:color w:val="005293" w:themeColor="accent1"/>
                <w:szCs w:val="20"/>
                <w:lang w:eastAsia="fr-FR"/>
              </w:rPr>
              <w:t>)</w:t>
            </w:r>
          </w:p>
        </w:tc>
      </w:tr>
      <w:tr w:rsidR="00B17E62" w:rsidRPr="008F2F62" w14:paraId="50CB4E74" w14:textId="77777777" w:rsidTr="00B17E62">
        <w:trPr>
          <w:trHeight w:val="270"/>
        </w:trPr>
        <w:tc>
          <w:tcPr>
            <w:tcW w:w="4706" w:type="dxa"/>
            <w:tcBorders>
              <w:top w:val="nil"/>
              <w:left w:val="nil"/>
              <w:bottom w:val="nil"/>
              <w:right w:val="nil"/>
            </w:tcBorders>
            <w:shd w:val="clear" w:color="000000" w:fill="FFFFFF"/>
            <w:noWrap/>
            <w:vAlign w:val="center"/>
            <w:hideMark/>
          </w:tcPr>
          <w:p w14:paraId="43950DBC" w14:textId="05127F27" w:rsidR="00B17E62" w:rsidRPr="008F2F62" w:rsidRDefault="00B17E62" w:rsidP="00B17E62">
            <w:pPr>
              <w:spacing w:line="240" w:lineRule="auto"/>
              <w:jc w:val="right"/>
              <w:rPr>
                <w:rFonts w:ascii="Century Gothic" w:eastAsia="Times New Roman" w:hAnsi="Century Gothic" w:cs="Times New Roman"/>
                <w:color w:val="323232"/>
                <w:szCs w:val="20"/>
                <w:lang w:eastAsia="fr-FR"/>
              </w:rPr>
            </w:pPr>
            <w:r w:rsidRPr="008F2F62">
              <w:rPr>
                <w:rFonts w:ascii="Century Gothic" w:eastAsia="Times New Roman" w:hAnsi="Century Gothic" w:cs="Times New Roman"/>
                <w:color w:val="323232"/>
                <w:szCs w:val="20"/>
                <w:lang w:eastAsia="fr-FR"/>
              </w:rPr>
              <w:t>Taux de valorisation énergétique 20</w:t>
            </w:r>
            <w:r>
              <w:rPr>
                <w:rFonts w:ascii="Century Gothic" w:eastAsia="Times New Roman" w:hAnsi="Century Gothic" w:cs="Times New Roman"/>
                <w:color w:val="323232"/>
                <w:szCs w:val="20"/>
                <w:lang w:eastAsia="fr-FR"/>
              </w:rPr>
              <w:t>20</w:t>
            </w:r>
          </w:p>
        </w:tc>
        <w:tc>
          <w:tcPr>
            <w:tcW w:w="2268" w:type="dxa"/>
            <w:tcBorders>
              <w:top w:val="nil"/>
              <w:left w:val="nil"/>
              <w:bottom w:val="nil"/>
              <w:right w:val="nil"/>
            </w:tcBorders>
            <w:shd w:val="clear" w:color="000000" w:fill="FFFFFF"/>
            <w:noWrap/>
            <w:vAlign w:val="center"/>
            <w:hideMark/>
          </w:tcPr>
          <w:p w14:paraId="483CB8EB" w14:textId="48799E2B" w:rsidR="00B17E62" w:rsidRPr="00B17E62" w:rsidRDefault="00B17E62" w:rsidP="00B17E62">
            <w:pPr>
              <w:spacing w:line="240" w:lineRule="auto"/>
              <w:jc w:val="center"/>
              <w:rPr>
                <w:rFonts w:ascii="Century Gothic" w:eastAsia="Times New Roman" w:hAnsi="Century Gothic" w:cs="Times New Roman"/>
                <w:b/>
                <w:bCs/>
                <w:color w:val="1598D9" w:themeColor="accent2"/>
                <w:szCs w:val="20"/>
                <w:lang w:eastAsia="fr-FR"/>
              </w:rPr>
            </w:pPr>
            <w:r w:rsidRPr="00B17E62">
              <w:rPr>
                <w:b/>
                <w:bCs/>
                <w:color w:val="1598D9" w:themeColor="accent2"/>
              </w:rPr>
              <w:t>9 %</w:t>
            </w:r>
          </w:p>
        </w:tc>
        <w:tc>
          <w:tcPr>
            <w:tcW w:w="907" w:type="dxa"/>
            <w:tcBorders>
              <w:top w:val="nil"/>
              <w:left w:val="nil"/>
              <w:bottom w:val="nil"/>
              <w:right w:val="nil"/>
            </w:tcBorders>
            <w:shd w:val="clear" w:color="000000" w:fill="FFFFFF"/>
            <w:noWrap/>
            <w:vAlign w:val="center"/>
            <w:hideMark/>
          </w:tcPr>
          <w:p w14:paraId="5C8EDE1F" w14:textId="6065F90C" w:rsidR="00B17E62" w:rsidRPr="00B17E62" w:rsidRDefault="00B17E62" w:rsidP="00B17E62">
            <w:pPr>
              <w:spacing w:line="240" w:lineRule="auto"/>
              <w:jc w:val="center"/>
              <w:rPr>
                <w:rFonts w:ascii="Century Gothic" w:eastAsia="Times New Roman" w:hAnsi="Century Gothic" w:cs="Times New Roman"/>
                <w:b/>
                <w:bCs/>
                <w:color w:val="005293" w:themeColor="accent1"/>
                <w:szCs w:val="20"/>
                <w:lang w:eastAsia="fr-FR"/>
              </w:rPr>
            </w:pPr>
            <w:r w:rsidRPr="00B17E62">
              <w:rPr>
                <w:b/>
                <w:bCs/>
                <w:color w:val="005293" w:themeColor="accent1"/>
              </w:rPr>
              <w:t>10 %</w:t>
            </w:r>
          </w:p>
        </w:tc>
        <w:tc>
          <w:tcPr>
            <w:tcW w:w="1510" w:type="dxa"/>
            <w:vMerge/>
            <w:tcBorders>
              <w:top w:val="nil"/>
              <w:left w:val="nil"/>
              <w:bottom w:val="nil"/>
              <w:right w:val="nil"/>
            </w:tcBorders>
            <w:vAlign w:val="center"/>
            <w:hideMark/>
          </w:tcPr>
          <w:p w14:paraId="6FEC216D" w14:textId="77777777" w:rsidR="00B17E62" w:rsidRPr="008F2F62" w:rsidRDefault="00B17E62" w:rsidP="00B17E62">
            <w:pPr>
              <w:spacing w:line="240" w:lineRule="auto"/>
              <w:rPr>
                <w:rFonts w:ascii="Century Gothic" w:eastAsia="Times New Roman" w:hAnsi="Century Gothic" w:cs="Times New Roman"/>
                <w:color w:val="323232"/>
                <w:szCs w:val="20"/>
                <w:lang w:eastAsia="fr-FR"/>
              </w:rPr>
            </w:pPr>
          </w:p>
        </w:tc>
      </w:tr>
    </w:tbl>
    <w:p w14:paraId="60780900" w14:textId="4D621600" w:rsidR="00C44FBE" w:rsidRDefault="00C44FBE" w:rsidP="00C44FBE">
      <w:pPr>
        <w:pStyle w:val="Titre2"/>
      </w:pPr>
      <w:r>
        <w:t>Un observatoire des déchets d’activité économique</w:t>
      </w:r>
    </w:p>
    <w:p w14:paraId="1928B597" w14:textId="77777777" w:rsidR="00ED2F32" w:rsidRDefault="00ED2F32" w:rsidP="00ED2F32">
      <w:pPr>
        <w:pStyle w:val="Corpsdetexte"/>
      </w:pPr>
      <w:r>
        <w:t xml:space="preserve">Après un premier travail d’observation des DAE réalisé en 2015 (sur les données 2014) pour l’état des lieux du </w:t>
      </w:r>
      <w:r w:rsidRPr="00DA7C0B">
        <w:t>Schéma Régional d’Aménagement, de Développement Durable et d’Egalité des Territoires (SRADDET)</w:t>
      </w:r>
      <w:r>
        <w:t>, et une actualisation en 2019 (sur les données 2018), la Région Grand Est a lancé en 2020 un observatoire déchets annuel. Cet observatoire</w:t>
      </w:r>
      <w:r w:rsidRPr="009256CF">
        <w:t xml:space="preserve"> répond à la fois à la nécessité de suivre le </w:t>
      </w:r>
      <w:r>
        <w:t>SRADDET</w:t>
      </w:r>
      <w:r w:rsidRPr="009256CF">
        <w:t xml:space="preserve"> et à l’obligation de réaliser un bilan annuel de l’état d’avancement du </w:t>
      </w:r>
      <w:r>
        <w:t>SRADDET</w:t>
      </w:r>
      <w:r w:rsidRPr="009256CF">
        <w:t xml:space="preserve">, mais également à l’engagement contractuel avec l’ADEME dans le cadre du CODREC. Il porte sur les Déchets Ménagers et Assimilés (DMA), les déchets du Bâtiment et des Travaux Publics (BTP), les Déchets Dangereux (DD) et sur les </w:t>
      </w:r>
      <w:r w:rsidRPr="009256CF">
        <w:rPr>
          <w:b/>
          <w:bCs/>
        </w:rPr>
        <w:t xml:space="preserve">Déchets d’Activité Economiques non dangereux non inertes (DAEndni), </w:t>
      </w:r>
      <w:r w:rsidRPr="009256CF">
        <w:t xml:space="preserve">produits et traités sur le territoire régional et les régions et pays </w:t>
      </w:r>
      <w:r>
        <w:t>limitrophes.</w:t>
      </w:r>
    </w:p>
    <w:p w14:paraId="49CB2571" w14:textId="77777777" w:rsidR="00ED2F32" w:rsidRDefault="00ED2F32" w:rsidP="00ED2F32">
      <w:pPr>
        <w:pStyle w:val="Corpsdetexte"/>
      </w:pPr>
      <w:r>
        <w:t>Le transfert de la compétence « Planification des déchets » avec la Loi NOTRe et la montée en puissance des enjeux liés à l’économie circulaire fait croitre le besoin en connaissance sur les DAE. Ce besoin n’est aujourd’hui pas satisfait par des enquêtes nationales car réalisées à intervalles trop importants, avec des délais de publication longs et/ou présentant des données tronquées pour des questions de secret statistique. Par ailleurs, les DAE n’étaient pas suivis de façon homogène entre les régions, tant au niveau de la méthode que des indicateurs de suivis ou des nomenclatures utilisées.</w:t>
      </w:r>
    </w:p>
    <w:p w14:paraId="5F1C99B2" w14:textId="56C2F8D0" w:rsidR="008F2F62" w:rsidRPr="00ED2F32" w:rsidRDefault="00ED2F32" w:rsidP="00ED2F32">
      <w:pPr>
        <w:pStyle w:val="Corpsdetexte"/>
      </w:pPr>
      <w:r>
        <w:t>L’ADEME a proposé une méthode harmonisée d’observation locale des déchets d’activité économique pour répondre à ce double besoin. La Région Grand Est fait le choix d’appliquer cette méthode dès l’actualisation 2019.</w:t>
      </w:r>
      <w:r w:rsidR="008F2F62">
        <w:br w:type="page"/>
      </w:r>
    </w:p>
    <w:p w14:paraId="08C4EF8A" w14:textId="22759873" w:rsidR="00C44FBE" w:rsidRDefault="00C44FBE" w:rsidP="008F2F62">
      <w:pPr>
        <w:pStyle w:val="Citation"/>
        <w:ind w:left="0" w:right="0"/>
      </w:pPr>
      <w:r>
        <w:lastRenderedPageBreak/>
        <w:t>Important : La méthode proposée par l’ADEME diffère de la méthode appliquée pour les observations 201</w:t>
      </w:r>
      <w:r w:rsidR="00341BD7">
        <w:t>4</w:t>
      </w:r>
      <w:r>
        <w:t xml:space="preserve"> et 2018. </w:t>
      </w:r>
      <w:r w:rsidR="00A10FFA">
        <w:t>Aussi, l</w:t>
      </w:r>
      <w:r>
        <w:t xml:space="preserve">’année 2019 </w:t>
      </w:r>
      <w:r w:rsidR="00341BD7">
        <w:t>constitue</w:t>
      </w:r>
      <w:r>
        <w:t xml:space="preserve"> un nouveau point de départ à partir duquel des évolutions fiables </w:t>
      </w:r>
      <w:r w:rsidR="00ED2F32">
        <w:t>sont</w:t>
      </w:r>
      <w:r>
        <w:t xml:space="preserve"> observées, mais est en rupture avec les années précédentes du fait de la différence de méthode.</w:t>
      </w:r>
    </w:p>
    <w:p w14:paraId="2912634F" w14:textId="2E2D4B2D" w:rsidR="00341BD7" w:rsidRPr="00341BD7" w:rsidRDefault="008F4A01" w:rsidP="00341BD7">
      <w:pPr>
        <w:pStyle w:val="Corpsdetexte"/>
      </w:pPr>
      <w:r>
        <w:t xml:space="preserve">Le périmètre géographique de cette note sont les </w:t>
      </w:r>
      <w:r w:rsidR="00143174">
        <w:t>DAEndni</w:t>
      </w:r>
      <w:r>
        <w:t xml:space="preserve"> produits sur le département</w:t>
      </w:r>
      <w:r w:rsidR="006E4612">
        <w:t>.</w:t>
      </w:r>
    </w:p>
    <w:p w14:paraId="70704CCC" w14:textId="35BC6896" w:rsidR="00C92008" w:rsidRDefault="000428CF" w:rsidP="00C92008">
      <w:pPr>
        <w:pStyle w:val="Titre2"/>
      </w:pPr>
      <w:r>
        <w:t>Chiffres clés</w:t>
      </w:r>
      <w:r w:rsidR="0059401A">
        <w:t xml:space="preserve"> de l’activité économique</w:t>
      </w:r>
    </w:p>
    <w:p w14:paraId="460E6031" w14:textId="27AE93F8" w:rsidR="00C92008" w:rsidRDefault="00341BD7" w:rsidP="00033119">
      <w:pPr>
        <w:pStyle w:val="Corpsdetexte"/>
        <w:spacing w:before="0" w:after="0"/>
        <w:jc w:val="center"/>
        <w:rPr>
          <w:noProof/>
        </w:rPr>
      </w:pPr>
      <w:r>
        <w:rPr>
          <w:noProof/>
        </w:rPr>
        <w:drawing>
          <wp:inline distT="0" distB="0" distL="0" distR="0" wp14:anchorId="532A185A" wp14:editId="1CB815D5">
            <wp:extent cx="2891430" cy="3598485"/>
            <wp:effectExtent l="0" t="0" r="0" b="0"/>
            <wp:docPr id="20" name="Graphique 20">
              <a:extLst xmlns:a="http://schemas.openxmlformats.org/drawingml/2006/main">
                <a:ext uri="{FF2B5EF4-FFF2-40B4-BE49-F238E27FC236}">
                  <a16:creationId xmlns:a16="http://schemas.microsoft.com/office/drawing/2014/main" id="{5DE0D93A-C57B-49B4-AFAF-6CFCDCE67C8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341BD7">
        <w:rPr>
          <w:noProof/>
        </w:rPr>
        <w:t xml:space="preserve"> </w:t>
      </w:r>
      <w:r>
        <w:rPr>
          <w:noProof/>
        </w:rPr>
        <w:drawing>
          <wp:inline distT="0" distB="0" distL="0" distR="0" wp14:anchorId="0A941B2D" wp14:editId="5D2A538F">
            <wp:extent cx="2891430" cy="3598485"/>
            <wp:effectExtent l="0" t="0" r="4445" b="0"/>
            <wp:docPr id="21" name="Graphique 21">
              <a:extLst xmlns:a="http://schemas.openxmlformats.org/drawingml/2006/main">
                <a:ext uri="{FF2B5EF4-FFF2-40B4-BE49-F238E27FC236}">
                  <a16:creationId xmlns:a16="http://schemas.microsoft.com/office/drawing/2014/main" id="{691E88AC-3980-4025-8D21-E4757F9AC16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9A3E9EB" w14:textId="5E9AB8AD" w:rsidR="0059401A" w:rsidRDefault="0059401A" w:rsidP="00033119">
      <w:pPr>
        <w:pStyle w:val="Corpsdetexte"/>
        <w:spacing w:before="0" w:after="0"/>
        <w:jc w:val="center"/>
        <w:rPr>
          <w:noProof/>
        </w:rPr>
      </w:pPr>
      <w:r>
        <w:rPr>
          <w:noProof/>
        </w:rPr>
        <w:drawing>
          <wp:inline distT="0" distB="0" distL="0" distR="0" wp14:anchorId="3F1C86E0" wp14:editId="3BD48438">
            <wp:extent cx="2891430" cy="3579435"/>
            <wp:effectExtent l="0" t="0" r="0" b="0"/>
            <wp:docPr id="22" name="Graphique 22">
              <a:extLst xmlns:a="http://schemas.openxmlformats.org/drawingml/2006/main">
                <a:ext uri="{FF2B5EF4-FFF2-40B4-BE49-F238E27FC236}">
                  <a16:creationId xmlns:a16="http://schemas.microsoft.com/office/drawing/2014/main" id="{A5C09566-296B-4DE2-B4F6-4248B4798AB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Pr="0059401A">
        <w:rPr>
          <w:noProof/>
        </w:rPr>
        <w:t xml:space="preserve"> </w:t>
      </w:r>
      <w:r>
        <w:rPr>
          <w:noProof/>
        </w:rPr>
        <w:drawing>
          <wp:inline distT="0" distB="0" distL="0" distR="0" wp14:anchorId="06202541" wp14:editId="62E12811">
            <wp:extent cx="2891430" cy="3579435"/>
            <wp:effectExtent l="0" t="0" r="0" b="0"/>
            <wp:docPr id="23" name="Graphique 23">
              <a:extLst xmlns:a="http://schemas.openxmlformats.org/drawingml/2006/main">
                <a:ext uri="{FF2B5EF4-FFF2-40B4-BE49-F238E27FC236}">
                  <a16:creationId xmlns:a16="http://schemas.microsoft.com/office/drawing/2014/main" id="{A6DF0D86-746C-4B5E-8603-334EBB83C42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3EA5565" w14:textId="5B4586CB" w:rsidR="00F80728" w:rsidRDefault="00F80728" w:rsidP="002C6D1C">
      <w:pPr>
        <w:pStyle w:val="Corpsdetexte"/>
      </w:pPr>
      <w:r>
        <w:rPr>
          <w:noProof/>
        </w:rPr>
        <w:lastRenderedPageBreak/>
        <w:drawing>
          <wp:anchor distT="0" distB="0" distL="114300" distR="114300" simplePos="0" relativeHeight="251658240" behindDoc="0" locked="0" layoutInCell="1" allowOverlap="1" wp14:anchorId="4DC33E20" wp14:editId="72CAF834">
            <wp:simplePos x="0" y="0"/>
            <wp:positionH relativeFrom="margin">
              <wp:align>left</wp:align>
            </wp:positionH>
            <wp:positionV relativeFrom="paragraph">
              <wp:posOffset>13335</wp:posOffset>
            </wp:positionV>
            <wp:extent cx="3619500" cy="2009775"/>
            <wp:effectExtent l="0" t="0" r="0" b="0"/>
            <wp:wrapSquare wrapText="bothSides"/>
            <wp:docPr id="8" name="Graphique 8">
              <a:extLst xmlns:a="http://schemas.openxmlformats.org/drawingml/2006/main">
                <a:ext uri="{FF2B5EF4-FFF2-40B4-BE49-F238E27FC236}">
                  <a16:creationId xmlns:a16="http://schemas.microsoft.com/office/drawing/2014/main" id="{0ECD31BA-25F2-43E2-8F6F-3D475D1C51E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page">
              <wp14:pctWidth>0</wp14:pctWidth>
            </wp14:sizeRelH>
            <wp14:sizeRelV relativeFrom="page">
              <wp14:pctHeight>0</wp14:pctHeight>
            </wp14:sizeRelV>
          </wp:anchor>
        </w:drawing>
      </w:r>
    </w:p>
    <w:p w14:paraId="2C690402" w14:textId="156EEB4C" w:rsidR="002C6D1C" w:rsidRDefault="002C6D1C" w:rsidP="002C6D1C">
      <w:pPr>
        <w:pStyle w:val="Corpsdetexte"/>
      </w:pPr>
      <w:r>
        <w:t xml:space="preserve">Le nombre de salariés sur le département est en légère baisse entre 2019 et 2020, ce qui s’explique par la crise sanitaire de 2020, </w:t>
      </w:r>
      <w:r w:rsidR="00F80728">
        <w:t>la tendance étant à la hausse depuis 2014</w:t>
      </w:r>
      <w:r>
        <w:t>.</w:t>
      </w:r>
    </w:p>
    <w:p w14:paraId="4D3DC810" w14:textId="77AEF4DB" w:rsidR="002C6D1C" w:rsidRDefault="002C6D1C" w:rsidP="002C6D1C">
      <w:pPr>
        <w:pStyle w:val="Corpsdetexte"/>
      </w:pPr>
      <w:r>
        <w:t>Le</w:t>
      </w:r>
      <w:r w:rsidR="002E6D32">
        <w:t xml:space="preserve"> nombre de</w:t>
      </w:r>
      <w:r>
        <w:t xml:space="preserve"> salariés du BTP </w:t>
      </w:r>
      <w:r w:rsidR="002E6D32">
        <w:t>est</w:t>
      </w:r>
      <w:r>
        <w:t xml:space="preserve"> en augmentation, mais reste minoritaire au regard du tertiaire et de l'industrie.</w:t>
      </w:r>
    </w:p>
    <w:p w14:paraId="510E6F2B" w14:textId="138C592F" w:rsidR="007A146E" w:rsidRDefault="002C6D1C" w:rsidP="00E77361">
      <w:pPr>
        <w:pStyle w:val="Titre2"/>
      </w:pPr>
      <w:r>
        <w:t>Evolution des tonnages de DAEndni produits</w:t>
      </w:r>
    </w:p>
    <w:p w14:paraId="0A461ECB" w14:textId="178EF01F" w:rsidR="00957C46" w:rsidRDefault="00957C46" w:rsidP="00957C46">
      <w:pPr>
        <w:pStyle w:val="Corpsdetexte"/>
      </w:pPr>
      <w:r>
        <w:t>Après le nouvel état des lieux de 2019, l’évolution de la production de DAEndni est approchée sur la base de l’évolution des tonnages entrant en installation de traitement, sur un périmètre constant.</w:t>
      </w:r>
    </w:p>
    <w:p w14:paraId="619EA1D6" w14:textId="041DC39C" w:rsidR="00957C46" w:rsidRPr="00957C46" w:rsidRDefault="00D134E0" w:rsidP="00957C46">
      <w:pPr>
        <w:pStyle w:val="Corpsdetexte"/>
      </w:pPr>
      <w:r>
        <w:rPr>
          <w:noProof/>
        </w:rPr>
        <w:drawing>
          <wp:inline distT="0" distB="0" distL="0" distR="0" wp14:anchorId="04E5F950" wp14:editId="3A7FB668">
            <wp:extent cx="6120000" cy="3512820"/>
            <wp:effectExtent l="0" t="0" r="0" b="0"/>
            <wp:docPr id="17" name="Graphique 17">
              <a:extLst xmlns:a="http://schemas.openxmlformats.org/drawingml/2006/main">
                <a:ext uri="{FF2B5EF4-FFF2-40B4-BE49-F238E27FC236}">
                  <a16:creationId xmlns:a16="http://schemas.microsoft.com/office/drawing/2014/main" id="{8D5AAC49-01B0-40C5-820A-B4CE60AD716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D5B3D1D" w14:textId="19303129" w:rsidR="007A79F6" w:rsidRDefault="00D134E0" w:rsidP="00D134E0">
      <w:pPr>
        <w:pStyle w:val="Corpsdetexte"/>
        <w:rPr>
          <w:noProof/>
        </w:rPr>
      </w:pPr>
      <w:r w:rsidRPr="00D134E0">
        <w:t>Entre</w:t>
      </w:r>
      <w:r>
        <w:rPr>
          <w:noProof/>
        </w:rPr>
        <w:t xml:space="preserve"> 2019 et 2020, on note une </w:t>
      </w:r>
      <w:r w:rsidR="00B17E62">
        <w:rPr>
          <w:b/>
          <w:bCs/>
          <w:noProof/>
        </w:rPr>
        <w:t>augmentation</w:t>
      </w:r>
      <w:r w:rsidRPr="007774C7">
        <w:rPr>
          <w:b/>
          <w:bCs/>
          <w:noProof/>
        </w:rPr>
        <w:t xml:space="preserve"> d</w:t>
      </w:r>
      <w:r w:rsidR="007774C7" w:rsidRPr="007774C7">
        <w:rPr>
          <w:b/>
          <w:bCs/>
          <w:noProof/>
        </w:rPr>
        <w:t xml:space="preserve">e </w:t>
      </w:r>
      <w:r w:rsidR="00B17E62">
        <w:rPr>
          <w:b/>
          <w:bCs/>
          <w:noProof/>
        </w:rPr>
        <w:t>7</w:t>
      </w:r>
      <w:r w:rsidR="007774C7" w:rsidRPr="007774C7">
        <w:rPr>
          <w:b/>
          <w:bCs/>
          <w:noProof/>
        </w:rPr>
        <w:t> </w:t>
      </w:r>
      <w:r w:rsidR="00B17E62">
        <w:rPr>
          <w:b/>
          <w:bCs/>
          <w:noProof/>
        </w:rPr>
        <w:t>3</w:t>
      </w:r>
      <w:r w:rsidR="007774C7" w:rsidRPr="007774C7">
        <w:rPr>
          <w:b/>
          <w:bCs/>
          <w:noProof/>
        </w:rPr>
        <w:t>00 t</w:t>
      </w:r>
      <w:r w:rsidR="007774C7">
        <w:rPr>
          <w:noProof/>
        </w:rPr>
        <w:t xml:space="preserve"> d</w:t>
      </w:r>
      <w:r>
        <w:rPr>
          <w:noProof/>
        </w:rPr>
        <w:t xml:space="preserve">es tonnages de DAEndni entrant en installation des traitement. </w:t>
      </w:r>
      <w:r w:rsidR="00B17E62">
        <w:rPr>
          <w:noProof/>
        </w:rPr>
        <w:t>Les Vosges sont le seul département qui voit une augmentation des tonnages entrant en isntallation de traitement, ce qui peut s’expliquer par la représentation plus importante de l’industrie du papier et donc des tonnages de déchets de papiers et cartons.</w:t>
      </w:r>
    </w:p>
    <w:p w14:paraId="20EF8911" w14:textId="5CB573CF" w:rsidR="003A2A23" w:rsidRDefault="00FD4E8B" w:rsidP="003A2A23">
      <w:pPr>
        <w:pStyle w:val="Corpsdetexte"/>
        <w:rPr>
          <w:noProof/>
        </w:rPr>
      </w:pPr>
      <w:r>
        <w:t>La production de DAEndni</w:t>
      </w:r>
      <w:r w:rsidR="009D7D3D">
        <w:t xml:space="preserve"> sur le département</w:t>
      </w:r>
      <w:r>
        <w:t xml:space="preserve"> </w:t>
      </w:r>
      <w:r w:rsidR="009D7D3D">
        <w:t xml:space="preserve">était estimée à </w:t>
      </w:r>
      <w:r w:rsidR="00B17E62">
        <w:t>467</w:t>
      </w:r>
      <w:r w:rsidR="009D7D3D">
        <w:t xml:space="preserve"> 000 t en 2019. </w:t>
      </w:r>
      <w:r w:rsidR="003A2A23">
        <w:rPr>
          <w:noProof/>
        </w:rPr>
        <w:t xml:space="preserve">En ajoutant les évolutions observées sur les tonnages de DAE assimilés aux déchets ménagers (- </w:t>
      </w:r>
      <w:r w:rsidR="00B17E62">
        <w:rPr>
          <w:noProof/>
        </w:rPr>
        <w:t>1</w:t>
      </w:r>
      <w:r w:rsidR="00F80728">
        <w:rPr>
          <w:noProof/>
        </w:rPr>
        <w:t xml:space="preserve"> 200</w:t>
      </w:r>
      <w:r w:rsidR="000D1D70">
        <w:rPr>
          <w:noProof/>
        </w:rPr>
        <w:t xml:space="preserve"> t</w:t>
      </w:r>
      <w:r w:rsidR="003A2A23">
        <w:rPr>
          <w:noProof/>
        </w:rPr>
        <w:t>) ainsi que sur les tonnages de DAEndni gérés directement par les producteurs (</w:t>
      </w:r>
      <w:r w:rsidR="00F80728">
        <w:rPr>
          <w:noProof/>
        </w:rPr>
        <w:t>-</w:t>
      </w:r>
      <w:r w:rsidR="000D1D70">
        <w:rPr>
          <w:noProof/>
        </w:rPr>
        <w:t xml:space="preserve"> </w:t>
      </w:r>
      <w:r w:rsidR="00F80728">
        <w:rPr>
          <w:noProof/>
        </w:rPr>
        <w:t>4</w:t>
      </w:r>
      <w:r w:rsidR="00B17E62">
        <w:rPr>
          <w:noProof/>
        </w:rPr>
        <w:t>1 7</w:t>
      </w:r>
      <w:r w:rsidR="00F80728">
        <w:rPr>
          <w:noProof/>
        </w:rPr>
        <w:t>0</w:t>
      </w:r>
      <w:r w:rsidR="00083DF2">
        <w:rPr>
          <w:noProof/>
        </w:rPr>
        <w:t>0</w:t>
      </w:r>
      <w:r w:rsidR="000D1D70">
        <w:rPr>
          <w:noProof/>
        </w:rPr>
        <w:t xml:space="preserve"> t</w:t>
      </w:r>
      <w:r w:rsidR="003A2A23">
        <w:rPr>
          <w:noProof/>
        </w:rPr>
        <w:t xml:space="preserve">), le gisement de DAEndni produits sur le département </w:t>
      </w:r>
      <w:r w:rsidR="00083DF2">
        <w:rPr>
          <w:noProof/>
        </w:rPr>
        <w:t xml:space="preserve">en 2020 </w:t>
      </w:r>
      <w:r w:rsidR="003A2A23">
        <w:rPr>
          <w:noProof/>
        </w:rPr>
        <w:t xml:space="preserve">est estimé à </w:t>
      </w:r>
      <w:r w:rsidR="00B17E62">
        <w:rPr>
          <w:b/>
          <w:bCs/>
          <w:noProof/>
        </w:rPr>
        <w:t xml:space="preserve">431 </w:t>
      </w:r>
      <w:r w:rsidR="003A2A23" w:rsidRPr="00083DF2">
        <w:rPr>
          <w:b/>
          <w:bCs/>
          <w:noProof/>
        </w:rPr>
        <w:t>000 t</w:t>
      </w:r>
      <w:r w:rsidR="003A2A23">
        <w:rPr>
          <w:noProof/>
        </w:rPr>
        <w:t>.</w:t>
      </w:r>
      <w:r w:rsidR="000D27F1">
        <w:rPr>
          <w:noProof/>
        </w:rPr>
        <w:t xml:space="preserve"> Cette baisse s’explique par la crise sanitaire de 2020 qui a entrainé un ralentissement général de l’économie.</w:t>
      </w:r>
    </w:p>
    <w:p w14:paraId="31090853" w14:textId="206A0866" w:rsidR="000D469F" w:rsidRDefault="009D7D3D" w:rsidP="00D134E0">
      <w:pPr>
        <w:pStyle w:val="Corpsdetexte"/>
      </w:pPr>
      <w:r>
        <w:t xml:space="preserve"> </w:t>
      </w:r>
    </w:p>
    <w:p w14:paraId="1474A536" w14:textId="3E858AE9" w:rsidR="00E77361" w:rsidRDefault="00E77361" w:rsidP="00E77361">
      <w:pPr>
        <w:pStyle w:val="Titre2"/>
      </w:pPr>
      <w:r>
        <w:lastRenderedPageBreak/>
        <w:t>Traitement des DAE</w:t>
      </w:r>
      <w:r w:rsidR="00F94669">
        <w:t xml:space="preserve"> non dangereux non inertes</w:t>
      </w:r>
    </w:p>
    <w:p w14:paraId="542412E7" w14:textId="3808292B" w:rsidR="00BF6191" w:rsidRDefault="008F4A01" w:rsidP="00BF6191">
      <w:pPr>
        <w:pStyle w:val="Titre3"/>
      </w:pPr>
      <w:r>
        <w:t>Tonnages identifiés en entrée d’installation de traitement</w:t>
      </w:r>
    </w:p>
    <w:p w14:paraId="2C2033D5" w14:textId="7591D051" w:rsidR="00143174" w:rsidRPr="00143174" w:rsidRDefault="00143174" w:rsidP="00143174">
      <w:pPr>
        <w:pStyle w:val="Corpsdetexte"/>
      </w:pPr>
      <w:r>
        <w:t xml:space="preserve">Le gisement de DAEndni produits sur le département et identifié en entrée d’installation de traitement s’élève </w:t>
      </w:r>
      <w:r w:rsidR="00D134E0">
        <w:t xml:space="preserve">en 2020 </w:t>
      </w:r>
      <w:r>
        <w:t xml:space="preserve">à </w:t>
      </w:r>
      <w:r w:rsidR="00B17E62">
        <w:rPr>
          <w:b/>
          <w:bCs/>
        </w:rPr>
        <w:t>200</w:t>
      </w:r>
      <w:r w:rsidR="00D134E0">
        <w:rPr>
          <w:b/>
          <w:bCs/>
        </w:rPr>
        <w:t xml:space="preserve"> </w:t>
      </w:r>
      <w:r w:rsidR="00864F7C">
        <w:rPr>
          <w:b/>
          <w:bCs/>
        </w:rPr>
        <w:t>000</w:t>
      </w:r>
      <w:r w:rsidRPr="00143174">
        <w:rPr>
          <w:b/>
          <w:bCs/>
        </w:rPr>
        <w:t xml:space="preserve"> t</w:t>
      </w:r>
      <w:r>
        <w:t>. Le graphique ci-dessous présente la répartition par type de déchets de ces tonnages :</w:t>
      </w:r>
    </w:p>
    <w:p w14:paraId="2C9D106C" w14:textId="3AD68A9D" w:rsidR="008F4A01" w:rsidRDefault="00D134E0" w:rsidP="008F4A01">
      <w:pPr>
        <w:pStyle w:val="Corpsdetexte"/>
      </w:pPr>
      <w:r>
        <w:rPr>
          <w:noProof/>
        </w:rPr>
        <w:drawing>
          <wp:inline distT="0" distB="0" distL="0" distR="0" wp14:anchorId="53908280" wp14:editId="0746A34C">
            <wp:extent cx="6120130" cy="2486025"/>
            <wp:effectExtent l="0" t="0" r="0" b="0"/>
            <wp:docPr id="16" name="Graphique 16">
              <a:extLst xmlns:a="http://schemas.openxmlformats.org/drawingml/2006/main">
                <a:ext uri="{FF2B5EF4-FFF2-40B4-BE49-F238E27FC236}">
                  <a16:creationId xmlns:a16="http://schemas.microsoft.com/office/drawing/2014/main" id="{8E2EF267-C698-4B3A-A41F-4483CB6BC30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11F15AF" w14:textId="38CE7266" w:rsidR="00D134E0" w:rsidRDefault="00D134E0" w:rsidP="00D134E0">
      <w:pPr>
        <w:pStyle w:val="Corpsdetexte"/>
      </w:pPr>
      <w:r w:rsidRPr="00026AB8">
        <w:t>L</w:t>
      </w:r>
      <w:r w:rsidR="00026AB8" w:rsidRPr="00026AB8">
        <w:t>es caractéristiques des DAEndni identifiés en entrée d’installation de traitement reflètent les caractéristiques des tonnages produits estimés sur l’année 2019</w:t>
      </w:r>
      <w:r w:rsidR="00B17E62">
        <w:t xml:space="preserve">, à savoir une implantation </w:t>
      </w:r>
      <w:r w:rsidR="0020641F">
        <w:t>marquée de l’industrie papetière et du bois, qui se traduit par une part plus importante de déchets de papiers et de bois que la part régionale</w:t>
      </w:r>
      <w:r w:rsidR="00026AB8" w:rsidRPr="00026AB8">
        <w:t>. Les déchets en mélange sont sur-représentés, ce qui s’explique par le fait que des types de déchets différents peuvent être mélangés avant d’arriver en installation de traitement.</w:t>
      </w:r>
    </w:p>
    <w:p w14:paraId="772C6562" w14:textId="77777777" w:rsidR="00026AB8" w:rsidRDefault="00026AB8">
      <w:pPr>
        <w:rPr>
          <w:rFonts w:asciiTheme="majorHAnsi" w:eastAsiaTheme="majorEastAsia" w:hAnsiTheme="majorHAnsi" w:cstheme="majorBidi"/>
          <w:color w:val="FFFFFF" w:themeColor="background1"/>
          <w:sz w:val="32"/>
          <w:szCs w:val="24"/>
        </w:rPr>
      </w:pPr>
      <w:r>
        <w:br w:type="page"/>
      </w:r>
    </w:p>
    <w:p w14:paraId="7148A067" w14:textId="26932CDA" w:rsidR="008F4A01" w:rsidRPr="008F4A01" w:rsidRDefault="008F4A01" w:rsidP="008F4A01">
      <w:pPr>
        <w:pStyle w:val="Titre3"/>
      </w:pPr>
      <w:r>
        <w:lastRenderedPageBreak/>
        <w:t>Valorisation des tonnages identifiés</w:t>
      </w:r>
    </w:p>
    <w:p w14:paraId="35A3E805" w14:textId="60428F5F" w:rsidR="00774FCA" w:rsidRPr="00774FCA" w:rsidRDefault="00774FCA" w:rsidP="00774FCA">
      <w:pPr>
        <w:pStyle w:val="Corpsdetexte"/>
      </w:pPr>
      <w:r>
        <w:t xml:space="preserve">Le graphique suivant présente la valorisation estimée des tonnages de DAEndni </w:t>
      </w:r>
      <w:r w:rsidR="002C1470">
        <w:t>identifiés</w:t>
      </w:r>
      <w:r>
        <w:t xml:space="preserve"> </w:t>
      </w:r>
      <w:r w:rsidR="002C1470">
        <w:t>en installation de traitement</w:t>
      </w:r>
      <w:r>
        <w:t> :</w:t>
      </w:r>
    </w:p>
    <w:p w14:paraId="6DAB4962" w14:textId="0FB445C7" w:rsidR="00BF6191" w:rsidRDefault="00957C46" w:rsidP="00774FCA">
      <w:pPr>
        <w:pStyle w:val="Corpsdetexte"/>
        <w:jc w:val="center"/>
      </w:pPr>
      <w:r>
        <w:rPr>
          <w:noProof/>
        </w:rPr>
        <w:drawing>
          <wp:inline distT="0" distB="0" distL="0" distR="0" wp14:anchorId="1088882E" wp14:editId="3BF35D12">
            <wp:extent cx="2880000" cy="2880000"/>
            <wp:effectExtent l="0" t="0" r="0" b="0"/>
            <wp:docPr id="1" name="Graphique 1">
              <a:extLst xmlns:a="http://schemas.openxmlformats.org/drawingml/2006/main">
                <a:ext uri="{FF2B5EF4-FFF2-40B4-BE49-F238E27FC236}">
                  <a16:creationId xmlns:a16="http://schemas.microsoft.com/office/drawing/2014/main" id="{F6BA92C0-44C4-4EB0-884E-85E82273C84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Pr="00957C46">
        <w:rPr>
          <w:noProof/>
        </w:rPr>
        <w:t xml:space="preserve"> </w:t>
      </w:r>
      <w:r>
        <w:rPr>
          <w:noProof/>
        </w:rPr>
        <w:drawing>
          <wp:inline distT="0" distB="0" distL="0" distR="0" wp14:anchorId="211B9E84" wp14:editId="024659CE">
            <wp:extent cx="2880000" cy="2880000"/>
            <wp:effectExtent l="0" t="0" r="0" b="0"/>
            <wp:docPr id="10" name="Graphique 10">
              <a:extLst xmlns:a="http://schemas.openxmlformats.org/drawingml/2006/main">
                <a:ext uri="{FF2B5EF4-FFF2-40B4-BE49-F238E27FC236}">
                  <a16:creationId xmlns:a16="http://schemas.microsoft.com/office/drawing/2014/main" id="{D93E7E8F-AC04-4A50-9E18-A15594EB73C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65401DBD" w14:textId="3215278F" w:rsidR="0020641F" w:rsidRDefault="0020641F" w:rsidP="008166BC">
      <w:pPr>
        <w:pStyle w:val="Corpsdetexte"/>
      </w:pPr>
      <w:r w:rsidRPr="0020641F">
        <w:t>La répartition départementale des tonnages par mode de valorisation est très proche de la répartition régionale.</w:t>
      </w:r>
    </w:p>
    <w:p w14:paraId="6B750034" w14:textId="264FB3E4" w:rsidR="0020641F" w:rsidRDefault="0020641F" w:rsidP="008166BC">
      <w:pPr>
        <w:pStyle w:val="Corpsdetexte"/>
      </w:pPr>
      <w:r>
        <w:rPr>
          <w:noProof/>
        </w:rPr>
        <w:drawing>
          <wp:anchor distT="0" distB="0" distL="114300" distR="114300" simplePos="0" relativeHeight="251659264" behindDoc="0" locked="0" layoutInCell="1" allowOverlap="1" wp14:anchorId="49B212A5" wp14:editId="5FEFD447">
            <wp:simplePos x="0" y="0"/>
            <wp:positionH relativeFrom="margin">
              <wp:align>left</wp:align>
            </wp:positionH>
            <wp:positionV relativeFrom="paragraph">
              <wp:posOffset>1270</wp:posOffset>
            </wp:positionV>
            <wp:extent cx="3420000" cy="2520000"/>
            <wp:effectExtent l="0" t="0" r="0" b="0"/>
            <wp:wrapSquare wrapText="bothSides"/>
            <wp:docPr id="14" name="Graphique 14">
              <a:extLst xmlns:a="http://schemas.openxmlformats.org/drawingml/2006/main">
                <a:ext uri="{FF2B5EF4-FFF2-40B4-BE49-F238E27FC236}">
                  <a16:creationId xmlns:a16="http://schemas.microsoft.com/office/drawing/2014/main" id="{DFAFC436-7F58-4934-8239-C6539DA97EF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margin">
              <wp14:pctWidth>0</wp14:pctWidth>
            </wp14:sizeRelH>
            <wp14:sizeRelV relativeFrom="margin">
              <wp14:pctHeight>0</wp14:pctHeight>
            </wp14:sizeRelV>
          </wp:anchor>
        </w:drawing>
      </w:r>
    </w:p>
    <w:p w14:paraId="47582C92" w14:textId="15F6A7D9" w:rsidR="0020641F" w:rsidRDefault="0020641F" w:rsidP="008166BC">
      <w:pPr>
        <w:pStyle w:val="Corpsdetexte"/>
      </w:pPr>
    </w:p>
    <w:p w14:paraId="0DABEF19" w14:textId="77777777" w:rsidR="0020641F" w:rsidRDefault="0020641F" w:rsidP="008166BC">
      <w:pPr>
        <w:pStyle w:val="Corpsdetexte"/>
      </w:pPr>
    </w:p>
    <w:p w14:paraId="3B95C898" w14:textId="2495EA71" w:rsidR="008166BC" w:rsidRDefault="008166BC" w:rsidP="008166BC">
      <w:pPr>
        <w:pStyle w:val="Corpsdetexte"/>
      </w:pPr>
      <w:r>
        <w:t xml:space="preserve">Entre 2019 et 2020, on note une tendance à </w:t>
      </w:r>
      <w:r w:rsidR="0020641F">
        <w:t>la hausse sur la valorisation organique et l’élimination, au détriment de la valorisation énergétique</w:t>
      </w:r>
      <w:r>
        <w:t>.</w:t>
      </w:r>
    </w:p>
    <w:sectPr w:rsidR="008166BC" w:rsidSect="00693835">
      <w:headerReference w:type="default" r:id="rId23"/>
      <w:footerReference w:type="default" r:id="rId24"/>
      <w:headerReference w:type="first" r:id="rId25"/>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5C75A" w14:textId="77777777" w:rsidR="00045D10" w:rsidRDefault="00045D10" w:rsidP="0031643E">
      <w:r>
        <w:separator/>
      </w:r>
    </w:p>
    <w:p w14:paraId="568DA308" w14:textId="77777777" w:rsidR="00045D10" w:rsidRDefault="00045D10"/>
  </w:endnote>
  <w:endnote w:type="continuationSeparator" w:id="0">
    <w:p w14:paraId="2B01CC41" w14:textId="77777777" w:rsidR="00045D10" w:rsidRDefault="00045D10" w:rsidP="0031643E">
      <w:r>
        <w:continuationSeparator/>
      </w:r>
    </w:p>
    <w:p w14:paraId="7F05AF54" w14:textId="77777777" w:rsidR="00045D10" w:rsidRDefault="00045D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80DD3" w14:textId="77777777" w:rsidR="00693835" w:rsidRDefault="00693835">
    <w:pPr>
      <w:pStyle w:val="Pieddepage"/>
    </w:pPr>
    <w:r>
      <w:rPr>
        <w:noProof/>
      </w:rPr>
      <w:drawing>
        <wp:anchor distT="0" distB="0" distL="114300" distR="114300" simplePos="0" relativeHeight="251669504" behindDoc="0" locked="0" layoutInCell="1" allowOverlap="1" wp14:anchorId="4F17FA3A" wp14:editId="65E75DA8">
          <wp:simplePos x="0" y="0"/>
          <wp:positionH relativeFrom="leftMargin">
            <wp:posOffset>720090</wp:posOffset>
          </wp:positionH>
          <wp:positionV relativeFrom="bottomMargin">
            <wp:posOffset>101600</wp:posOffset>
          </wp:positionV>
          <wp:extent cx="604800" cy="273600"/>
          <wp:effectExtent l="0" t="0" r="5080" b="0"/>
          <wp:wrapNone/>
          <wp:docPr id="59" name="Imag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04800" cy="273600"/>
                  </a:xfrm>
                  <a:prstGeom prst="rect">
                    <a:avLst/>
                  </a:prstGeom>
                  <a:noFill/>
                </pic:spPr>
              </pic:pic>
            </a:graphicData>
          </a:graphic>
          <wp14:sizeRelH relativeFrom="margin">
            <wp14:pctWidth>0</wp14:pctWidth>
          </wp14:sizeRelH>
          <wp14:sizeRelV relativeFrom="margin">
            <wp14:pctHeight>0</wp14:pctHeight>
          </wp14:sizeRelV>
        </wp:anchor>
      </w:drawing>
    </w:r>
    <w:r w:rsidRPr="00693835">
      <w:rPr>
        <w:noProof/>
      </w:rPr>
      <mc:AlternateContent>
        <mc:Choice Requires="wps">
          <w:drawing>
            <wp:anchor distT="0" distB="0" distL="114300" distR="114300" simplePos="0" relativeHeight="251666432" behindDoc="1" locked="0" layoutInCell="1" allowOverlap="1" wp14:anchorId="11F0F700" wp14:editId="64407BF6">
              <wp:simplePos x="0" y="0"/>
              <wp:positionH relativeFrom="rightMargin">
                <wp:posOffset>-323850</wp:posOffset>
              </wp:positionH>
              <wp:positionV relativeFrom="bottomMargin">
                <wp:posOffset>180340</wp:posOffset>
              </wp:positionV>
              <wp:extent cx="1227600" cy="216000"/>
              <wp:effectExtent l="0" t="0" r="0" b="0"/>
              <wp:wrapNone/>
              <wp:docPr id="9" name="Parallélogramm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27600" cy="216000"/>
                      </a:xfrm>
                      <a:prstGeom prst="parallelogram">
                        <a:avLst>
                          <a:gd name="adj" fmla="val 26720"/>
                        </a:avLst>
                      </a:prstGeom>
                      <a:solidFill>
                        <a:schemeClr val="bg1">
                          <a:lumMod val="95000"/>
                        </a:schemeClr>
                      </a:solidFill>
                      <a:ln w="1270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45C2A2A" w14:textId="77777777" w:rsidR="00693835" w:rsidRDefault="00693835" w:rsidP="0069383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F0F700"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élogramme 9" o:spid="_x0000_s1028" type="#_x0000_t7" style="position:absolute;margin-left:-25.5pt;margin-top:14.2pt;width:96.65pt;height:17pt;z-index:-25165004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" adj="1016" fillcolor="#f2f2f2 [3052]" stroked="f" strokeweight="10pt">
              <v:textbox>
                <w:txbxContent>
                  <w:p w14:paraId="145C2A2A" w14:textId="77777777" w:rsidR="00693835" w:rsidRDefault="00693835" w:rsidP="00693835">
                    <w:pPr>
                      <w:jc w:val="center"/>
                    </w:pPr>
                  </w:p>
                </w:txbxContent>
              </v:textbox>
              <w10:wrap anchorx="margin" anchory="margin"/>
            </v:shape>
          </w:pict>
        </mc:Fallback>
      </mc:AlternateContent>
    </w:r>
    <w:r w:rsidRPr="00693835">
      <w:rPr>
        <w:noProof/>
      </w:rPr>
      <mc:AlternateContent>
        <mc:Choice Requires="wps">
          <w:drawing>
            <wp:anchor distT="0" distB="0" distL="114300" distR="114300" simplePos="0" relativeHeight="251667456" behindDoc="0" locked="0" layoutInCell="1" allowOverlap="1" wp14:anchorId="7683D0FB" wp14:editId="39F5187B">
              <wp:simplePos x="0" y="0"/>
              <wp:positionH relativeFrom="rightMargin">
                <wp:posOffset>-360045</wp:posOffset>
              </wp:positionH>
              <wp:positionV relativeFrom="bottomMargin">
                <wp:posOffset>-158115</wp:posOffset>
              </wp:positionV>
              <wp:extent cx="745200" cy="687600"/>
              <wp:effectExtent l="0" t="0" r="0" b="0"/>
              <wp:wrapNone/>
              <wp:docPr id="452" name="Zone de texte 452"/>
              <wp:cNvGraphicFramePr/>
              <a:graphic xmlns:a="http://schemas.openxmlformats.org/drawingml/2006/main">
                <a:graphicData uri="http://schemas.microsoft.com/office/word/2010/wordprocessingShape">
                  <wps:wsp>
                    <wps:cNvSpPr txBox="1"/>
                    <wps:spPr>
                      <a:xfrm>
                        <a:off x="0" y="0"/>
                        <a:ext cx="745200" cy="687600"/>
                      </a:xfrm>
                      <a:prstGeom prst="rect">
                        <a:avLst/>
                      </a:prstGeom>
                      <a:noFill/>
                      <a:ln w="6350">
                        <a:noFill/>
                      </a:ln>
                    </wps:spPr>
                    <wps:txbx>
                      <w:txbxContent>
                        <w:p w14:paraId="1B7E803D" w14:textId="77777777" w:rsidR="00693835" w:rsidRPr="00E43E88" w:rsidRDefault="00693835" w:rsidP="00693835">
                          <w:pPr>
                            <w:jc w:val="right"/>
                            <w:rPr>
                              <w:b/>
                              <w:color w:val="B0B0B0" w:themeColor="background2" w:themeShade="BF"/>
                              <w:sz w:val="72"/>
                            </w:rPr>
                          </w:pPr>
                          <w:r w:rsidRPr="00C70325">
                            <w:rPr>
                              <w:b/>
                              <w:color w:val="1598D9" w:themeColor="accent2"/>
                              <w:sz w:val="72"/>
                            </w:rPr>
                            <w:fldChar w:fldCharType="begin"/>
                          </w:r>
                          <w:r w:rsidRPr="00C70325">
                            <w:rPr>
                              <w:b/>
                              <w:color w:val="1598D9" w:themeColor="accent2"/>
                              <w:sz w:val="72"/>
                            </w:rPr>
                            <w:instrText xml:space="preserve"> PAGE  \* Arabic  \* MERGEFORMAT </w:instrText>
                          </w:r>
                          <w:r w:rsidRPr="00C70325">
                            <w:rPr>
                              <w:b/>
                              <w:color w:val="1598D9" w:themeColor="accent2"/>
                              <w:sz w:val="72"/>
                            </w:rPr>
                            <w:fldChar w:fldCharType="separate"/>
                          </w:r>
                          <w:r>
                            <w:rPr>
                              <w:b/>
                              <w:noProof/>
                              <w:color w:val="1598D9" w:themeColor="accent2"/>
                              <w:sz w:val="72"/>
                            </w:rPr>
                            <w:t>3</w:t>
                          </w:r>
                          <w:r w:rsidRPr="00C70325">
                            <w:rPr>
                              <w:b/>
                              <w:color w:val="1598D9" w:themeColor="accent2"/>
                              <w:sz w:val="72"/>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83D0FB" id="_x0000_t202" coordsize="21600,21600" o:spt="202" path="m,l,21600r21600,l21600,xe">
              <v:stroke joinstyle="miter"/>
              <v:path gradientshapeok="t" o:connecttype="rect"/>
            </v:shapetype>
            <v:shape id="Zone de texte 452" o:spid="_x0000_s1029" type="#_x0000_t202" style="position:absolute;margin-left:-28.35pt;margin-top:-12.45pt;width:58.7pt;height:54.15pt;z-index:25166745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" filled="f" stroked="f" strokeweight=".5pt">
              <v:textbox>
                <w:txbxContent>
                  <w:p w14:paraId="1B7E803D" w14:textId="77777777" w:rsidR="00693835" w:rsidRPr="00E43E88" w:rsidRDefault="00693835" w:rsidP="00693835">
                    <w:pPr>
                      <w:jc w:val="right"/>
                      <w:rPr>
                        <w:b/>
                        <w:color w:val="B0B0B0" w:themeColor="background2" w:themeShade="BF"/>
                        <w:sz w:val="72"/>
                      </w:rPr>
                    </w:pPr>
                    <w:r w:rsidRPr="00C70325">
                      <w:rPr>
                        <w:b/>
                        <w:color w:val="1598D9" w:themeColor="accent2"/>
                        <w:sz w:val="72"/>
                      </w:rPr>
                      <w:fldChar w:fldCharType="begin"/>
                    </w:r>
                    <w:r w:rsidRPr="00C70325">
                      <w:rPr>
                        <w:b/>
                        <w:color w:val="1598D9" w:themeColor="accent2"/>
                        <w:sz w:val="72"/>
                      </w:rPr>
                      <w:instrText xml:space="preserve"> PAGE  \* Arabic  \* MERGEFORMAT </w:instrText>
                    </w:r>
                    <w:r w:rsidRPr="00C70325">
                      <w:rPr>
                        <w:b/>
                        <w:color w:val="1598D9" w:themeColor="accent2"/>
                        <w:sz w:val="72"/>
                      </w:rPr>
                      <w:fldChar w:fldCharType="separate"/>
                    </w:r>
                    <w:r>
                      <w:rPr>
                        <w:b/>
                        <w:noProof/>
                        <w:color w:val="1598D9" w:themeColor="accent2"/>
                        <w:sz w:val="72"/>
                      </w:rPr>
                      <w:t>3</w:t>
                    </w:r>
                    <w:r w:rsidRPr="00C70325">
                      <w:rPr>
                        <w:b/>
                        <w:color w:val="1598D9" w:themeColor="accent2"/>
                        <w:sz w:val="72"/>
                      </w:rPr>
                      <w:fldChar w:fldCharType="end"/>
                    </w: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DA1B06" w14:textId="77777777" w:rsidR="00045D10" w:rsidRDefault="00045D10" w:rsidP="0031643E">
      <w:r>
        <w:separator/>
      </w:r>
    </w:p>
    <w:p w14:paraId="634BB5FB" w14:textId="77777777" w:rsidR="00045D10" w:rsidRDefault="00045D10"/>
  </w:footnote>
  <w:footnote w:type="continuationSeparator" w:id="0">
    <w:p w14:paraId="61837FD0" w14:textId="77777777" w:rsidR="00045D10" w:rsidRDefault="00045D10" w:rsidP="0031643E">
      <w:r>
        <w:continuationSeparator/>
      </w:r>
    </w:p>
    <w:p w14:paraId="0CCB4208" w14:textId="77777777" w:rsidR="00045D10" w:rsidRDefault="00045D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044DB" w14:textId="67D72544" w:rsidR="00693835" w:rsidRPr="00693835" w:rsidRDefault="002D7D62">
    <w:pPr>
      <w:pStyle w:val="En-tte"/>
      <w:rPr>
        <w:color w:val="A2A2A2" w:themeColor="text2" w:themeTint="99"/>
      </w:rPr>
    </w:pPr>
    <w:r w:rsidRPr="0059401A">
      <w:rPr>
        <w:noProof/>
        <w:sz w:val="18"/>
        <w:szCs w:val="20"/>
      </w:rPr>
      <mc:AlternateContent>
        <mc:Choice Requires="wps">
          <w:drawing>
            <wp:anchor distT="0" distB="0" distL="114300" distR="114300" simplePos="0" relativeHeight="251671552" behindDoc="1" locked="0" layoutInCell="1" allowOverlap="1" wp14:anchorId="1638C2F6" wp14:editId="2F570F3F">
              <wp:simplePos x="0" y="0"/>
              <wp:positionH relativeFrom="page">
                <wp:align>right</wp:align>
              </wp:positionH>
              <wp:positionV relativeFrom="margin">
                <wp:align>top</wp:align>
              </wp:positionV>
              <wp:extent cx="720000" cy="6120000"/>
              <wp:effectExtent l="0" t="0" r="0" b="0"/>
              <wp:wrapNone/>
              <wp:docPr id="7" name="Zone de texte 7"/>
              <wp:cNvGraphicFramePr/>
              <a:graphic xmlns:a="http://schemas.openxmlformats.org/drawingml/2006/main">
                <a:graphicData uri="http://schemas.microsoft.com/office/word/2010/wordprocessingShape">
                  <wps:wsp>
                    <wps:cNvSpPr txBox="1"/>
                    <wps:spPr>
                      <a:xfrm>
                        <a:off x="0" y="0"/>
                        <a:ext cx="720000" cy="6120000"/>
                      </a:xfrm>
                      <a:prstGeom prst="rect">
                        <a:avLst/>
                      </a:prstGeom>
                      <a:noFill/>
                      <a:ln w="6350">
                        <a:noFill/>
                      </a:ln>
                    </wps:spPr>
                    <wps:txbx>
                      <w:txbxContent>
                        <w:p w14:paraId="54E52EBD" w14:textId="6B5CB45E" w:rsidR="002D7D62" w:rsidRPr="00DD2940" w:rsidRDefault="00B17E62" w:rsidP="002D7D62">
                          <w:pPr>
                            <w:rPr>
                              <w:color w:val="EBEBEB" w:themeColor="background2"/>
                              <w:sz w:val="72"/>
                            </w:rPr>
                          </w:pPr>
                          <w:r>
                            <w:rPr>
                              <w:color w:val="EBEBEB" w:themeColor="background2"/>
                              <w:sz w:val="72"/>
                            </w:rPr>
                            <w:t>Vosges</w:t>
                          </w:r>
                        </w:p>
                      </w:txbxContent>
                    </wps:txbx>
                    <wps:bodyPr rot="0" spcFirstLastPara="0" vertOverflow="overflow" horzOverflow="overflow" vert="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38C2F6" id="_x0000_t202" coordsize="21600,21600" o:spt="202" path="m,l,21600r21600,l21600,xe">
              <v:stroke joinstyle="miter"/>
              <v:path gradientshapeok="t" o:connecttype="rect"/>
            </v:shapetype>
            <v:shape id="Zone de texte 7" o:spid="_x0000_s1026" type="#_x0000_t202" style="position:absolute;margin-left:-39.3pt;margin-top:0;width:56.7pt;height:481.9pt;z-index:-251644928;visibility:visible;mso-wrap-style:square;mso-width-percent:0;mso-height-percent:0;mso-wrap-distance-left:9pt;mso-wrap-distance-top:0;mso-wrap-distance-right:9pt;mso-wrap-distance-bottom:0;mso-position-horizontal:right;mso-position-horizontal-relative:page;mso-position-vertical:top;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" filled="f" stroked="f" strokeweight=".5pt">
              <v:textbox style="layout-flow:vertical">
                <w:txbxContent>
                  <w:p w14:paraId="54E52EBD" w14:textId="6B5CB45E" w:rsidR="002D7D62" w:rsidRPr="00DD2940" w:rsidRDefault="00B17E62" w:rsidP="002D7D62">
                    <w:pPr>
                      <w:rPr>
                        <w:color w:val="EBEBEB" w:themeColor="background2"/>
                        <w:sz w:val="72"/>
                      </w:rPr>
                    </w:pPr>
                    <w:r>
                      <w:rPr>
                        <w:color w:val="EBEBEB" w:themeColor="background2"/>
                        <w:sz w:val="72"/>
                      </w:rPr>
                      <w:t>Vosges</w:t>
                    </w:r>
                  </w:p>
                </w:txbxContent>
              </v:textbox>
              <w10:wrap anchorx="page" anchory="margin"/>
            </v:shape>
          </w:pict>
        </mc:Fallback>
      </mc:AlternateContent>
    </w:r>
    <w:r w:rsidR="00693835" w:rsidRPr="0059401A">
      <w:rPr>
        <w:noProof/>
        <w:color w:val="A2A2A2" w:themeColor="text2" w:themeTint="99"/>
        <w:sz w:val="14"/>
        <w:szCs w:val="16"/>
      </w:rPr>
      <mc:AlternateContent>
        <mc:Choice Requires="wps">
          <w:drawing>
            <wp:anchor distT="0" distB="0" distL="114300" distR="114300" simplePos="0" relativeHeight="251661312" behindDoc="1" locked="0" layoutInCell="1" allowOverlap="1" wp14:anchorId="0CA93D5A" wp14:editId="53A36948">
              <wp:simplePos x="0" y="0"/>
              <wp:positionH relativeFrom="leftMargin">
                <wp:posOffset>-144145</wp:posOffset>
              </wp:positionH>
              <wp:positionV relativeFrom="topMargin">
                <wp:posOffset>419735</wp:posOffset>
              </wp:positionV>
              <wp:extent cx="6804000" cy="216000"/>
              <wp:effectExtent l="0" t="0" r="0" b="0"/>
              <wp:wrapNone/>
              <wp:docPr id="3" name="Parallélogramm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04000" cy="216000"/>
                      </a:xfrm>
                      <a:prstGeom prst="parallelogram">
                        <a:avLst>
                          <a:gd name="adj" fmla="val 26720"/>
                        </a:avLst>
                      </a:prstGeom>
                      <a:solidFill>
                        <a:schemeClr val="bg1">
                          <a:lumMod val="95000"/>
                        </a:schemeClr>
                      </a:solidFill>
                      <a:ln w="1270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32E89D0" w14:textId="77777777" w:rsidR="00693835" w:rsidRDefault="00693835" w:rsidP="0069383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A93D5A"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élogramme 3" o:spid="_x0000_s1027" type="#_x0000_t7" style="position:absolute;margin-left:-11.35pt;margin-top:33.05pt;width:535.75pt;height:17pt;z-index:-25165516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op-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" adj="183" fillcolor="#f2f2f2 [3052]" stroked="f" strokeweight="10pt">
              <v:textbox>
                <w:txbxContent>
                  <w:p w14:paraId="332E89D0" w14:textId="77777777" w:rsidR="00693835" w:rsidRDefault="00693835" w:rsidP="00693835">
                    <w:pPr>
                      <w:jc w:val="center"/>
                    </w:pPr>
                  </w:p>
                </w:txbxContent>
              </v:textbox>
              <w10:wrap anchorx="margin" anchory="margin"/>
            </v:shape>
          </w:pict>
        </mc:Fallback>
      </mc:AlternateContent>
    </w:r>
    <w:r w:rsidR="00203D0E" w:rsidRPr="0059401A">
      <w:rPr>
        <w:color w:val="A2A2A2" w:themeColor="text2" w:themeTint="99"/>
        <w:sz w:val="18"/>
        <w:szCs w:val="20"/>
      </w:rPr>
      <w:t>Région Grand Est – Les Déchets d’Activité Economique non dangereux non inertes</w:t>
    </w:r>
    <w:r w:rsidR="0059401A">
      <w:rPr>
        <w:color w:val="A2A2A2" w:themeColor="text2" w:themeTint="99"/>
        <w:sz w:val="18"/>
        <w:szCs w:val="20"/>
      </w:rPr>
      <w:t xml:space="preserve"> en 2019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D0583" w14:textId="77777777" w:rsidR="00693835" w:rsidRDefault="00693835">
    <w:pPr>
      <w:pStyle w:val="En-tte"/>
    </w:pPr>
    <w:r>
      <w:rPr>
        <w:noProof/>
      </w:rPr>
      <mc:AlternateContent>
        <mc:Choice Requires="wpg">
          <w:drawing>
            <wp:anchor distT="0" distB="0" distL="114300" distR="114300" simplePos="0" relativeHeight="251659264" behindDoc="0" locked="1" layoutInCell="1" allowOverlap="1" wp14:anchorId="6377F52F" wp14:editId="0C060936">
              <wp:simplePos x="0" y="0"/>
              <wp:positionH relativeFrom="page">
                <wp:posOffset>-935990</wp:posOffset>
              </wp:positionH>
              <wp:positionV relativeFrom="page">
                <wp:posOffset>-1893570</wp:posOffset>
              </wp:positionV>
              <wp:extent cx="7063200" cy="6400800"/>
              <wp:effectExtent l="476250" t="476250" r="194945" b="133350"/>
              <wp:wrapNone/>
              <wp:docPr id="15" name="Groupe 15"/>
              <wp:cNvGraphicFramePr/>
              <a:graphic xmlns:a="http://schemas.openxmlformats.org/drawingml/2006/main">
                <a:graphicData uri="http://schemas.microsoft.com/office/word/2010/wordprocessingGroup">
                  <wpg:wgp>
                    <wpg:cNvGrpSpPr/>
                    <wpg:grpSpPr>
                      <a:xfrm>
                        <a:off x="0" y="0"/>
                        <a:ext cx="7063200" cy="6400800"/>
                        <a:chOff x="0" y="0"/>
                        <a:chExt cx="7062847" cy="6401948"/>
                      </a:xfrm>
                    </wpg:grpSpPr>
                    <wpg:grpSp>
                      <wpg:cNvPr id="4" name="Groupe 2"/>
                      <wpg:cNvGrpSpPr/>
                      <wpg:grpSpPr>
                        <a:xfrm rot="5628191">
                          <a:off x="-1401953" y="3495536"/>
                          <a:ext cx="4308365" cy="1504460"/>
                          <a:chOff x="-28359" y="338363"/>
                          <a:chExt cx="5844271" cy="2041688"/>
                        </a:xfrm>
                      </wpg:grpSpPr>
                      <wps:wsp>
                        <wps:cNvPr id="5" name="Rectangle 4"/>
                        <wps:cNvSpPr/>
                        <wps:spPr>
                          <a:xfrm rot="420000">
                            <a:off x="17064" y="338363"/>
                            <a:ext cx="5772869" cy="461405"/>
                          </a:xfrm>
                          <a:prstGeom prst="rect">
                            <a:avLst/>
                          </a:prstGeom>
                          <a:gradFill>
                            <a:gsLst>
                              <a:gs pos="0">
                                <a:srgbClr val="323232">
                                  <a:alpha val="10000"/>
                                </a:srgbClr>
                              </a:gs>
                              <a:gs pos="52000">
                                <a:schemeClr val="tx1">
                                  <a:alpha val="0"/>
                                </a:schemeClr>
                              </a:gs>
                            </a:gsLst>
                            <a:lin ang="1650000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5"/>
                        <wps:cNvSpPr/>
                        <wps:spPr>
                          <a:xfrm rot="420000">
                            <a:off x="-28359" y="837813"/>
                            <a:ext cx="5844271" cy="1542238"/>
                          </a:xfrm>
                          <a:prstGeom prst="rect">
                            <a:avLst/>
                          </a:prstGeom>
                          <a:gradFill>
                            <a:gsLst>
                              <a:gs pos="36000">
                                <a:srgbClr val="59C519"/>
                              </a:gs>
                              <a:gs pos="89000">
                                <a:schemeClr val="accent3"/>
                              </a:gs>
                              <a:gs pos="12000">
                                <a:schemeClr val="accent4"/>
                              </a:gs>
                            </a:gsLst>
                            <a:lin ang="19800000" scaled="0"/>
                          </a:gradFill>
                          <a:ln w="1270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3" name="Rectangle 477"/>
                      <wps:cNvSpPr/>
                      <wps:spPr>
                        <a:xfrm rot="10357728" flipH="1">
                          <a:off x="709118" y="2513550"/>
                          <a:ext cx="4391422" cy="521301"/>
                        </a:xfrm>
                        <a:prstGeom prst="rect">
                          <a:avLst/>
                        </a:prstGeom>
                        <a:gradFill>
                          <a:gsLst>
                            <a:gs pos="0">
                              <a:srgbClr val="323232">
                                <a:alpha val="20000"/>
                              </a:srgbClr>
                            </a:gs>
                            <a:gs pos="52000">
                              <a:schemeClr val="tx1">
                                <a:alpha val="0"/>
                              </a:schemeClr>
                            </a:gs>
                          </a:gsLst>
                          <a:lin ang="1662000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ectangle 12"/>
                      <wps:cNvSpPr/>
                      <wps:spPr>
                        <a:xfrm rot="4969920" flipV="1">
                          <a:off x="2681042" y="-2050499"/>
                          <a:ext cx="2331305" cy="6432304"/>
                        </a:xfrm>
                        <a:prstGeom prst="rect">
                          <a:avLst/>
                        </a:prstGeom>
                        <a:gradFill>
                          <a:gsLst>
                            <a:gs pos="100000">
                              <a:schemeClr val="accent2"/>
                            </a:gs>
                            <a:gs pos="75000">
                              <a:srgbClr val="0A71B2"/>
                            </a:gs>
                            <a:gs pos="30000">
                              <a:schemeClr val="accent1"/>
                            </a:gs>
                          </a:gsLst>
                          <a:lin ang="14400000" scaled="0"/>
                        </a:gradFill>
                        <a:ln w="1270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BF09D33" id="Groupe 15" o:spid="_x0000_s1026" style="position:absolute;margin-left:-73.7pt;margin-top:-149.1pt;width:556.15pt;height:7in;z-index:251659264;mso-position-horizontal-relative:page;mso-position-vertical-relative:page;mso-width-relative:margin;mso-height-relative:margin" coordsize="70628,640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">
              <v:group id="Groupe 2" o:spid="_x0000_s1027" style="position:absolute;left:-14020;top:34955;width:43084;height:15044;rotation:6147485fd" coordorigin="-283,3383" coordsize="58442,20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">
                <v:rect id="Rectangle 4" o:spid="_x0000_s1028" style="position:absolute;left:170;top:3383;width:57729;height:4614;rotation: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" fillcolor="#323232" stroked="f" strokeweight="1pt">
                  <v:fill opacity="0" color2="#323232 [3213]" o:opacity2="6553f" angle="175" colors="0 #323232;34079f #323232" focus="100%" type="gradient">
                    <o:fill v:ext="view" type="gradientUnscaled"/>
                  </v:fill>
                </v:rect>
                <v:rect id="Rectangle 5" o:spid="_x0000_s1029" style="position:absolute;left:-283;top:8378;width:58442;height:15422;rotation: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" fillcolor="#1fb531 [3207]" strokecolor="white [3212]" strokeweight="10pt">
                  <v:fill color2="#92d400 [3206]" angle="120" colors="0 #1fb531;7864f #1fb531;23593f #59c519" focus="100%" type="gradient">
                    <o:fill v:ext="view" type="gradientUnscaled"/>
                  </v:fill>
                </v:rect>
              </v:group>
              <v:rect id="Rectangle 477" o:spid="_x0000_s1030" style="position:absolute;left:7091;top:25135;width:43914;height:5213;rotation:-11313401fd;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" fillcolor="#323232" stroked="f" strokeweight="1pt">
                <v:fill opacity="0" color2="#323232 [3213]" o:opacity2="13107f" angle="173" colors="0 #323232;34079f #323232" focus="100%" type="gradient">
                  <o:fill v:ext="view" type="gradientUnscaled"/>
                </v:fill>
              </v:rect>
              <v:rect id="Rectangle 12" o:spid="_x0000_s1031" style="position:absolute;left:26810;top:-20505;width:23313;height:64323;rotation:-5428478fd;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" fillcolor="#005293 [3204]" strokecolor="white [3212]" strokeweight="10pt">
                <v:fill color2="#1598d9 [3205]" angle="210" colors="0 #005293;19661f #005293;.75 #0a71b2" focus="100%" type="gradient">
                  <o:fill v:ext="view" type="gradientUnscaled"/>
                </v:fill>
              </v:rect>
              <w10:wrap anchorx="page"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53" type="#_x0000_t75" style="width:45.8pt;height:53.3pt" o:bullet="t">
        <v:imagedata r:id="rId1" o:title="Puce"/>
      </v:shape>
    </w:pict>
  </w:numPicBullet>
  <w:numPicBullet w:numPicBulletId="1">
    <w:pict>
      <v:shape id="_x0000_i1354" type="#_x0000_t75" style="width:45.8pt;height:53.3pt" o:bullet="t">
        <v:imagedata r:id="rId2" o:title="Puce_Bleue"/>
      </v:shape>
    </w:pict>
  </w:numPicBullet>
  <w:numPicBullet w:numPicBulletId="2">
    <w:pict>
      <v:shape id="_x0000_i1355" type="#_x0000_t75" style="width:45.8pt;height:53.3pt" o:bullet="t">
        <v:imagedata r:id="rId3" o:title="Puce_Grise"/>
      </v:shape>
    </w:pict>
  </w:numPicBullet>
  <w:abstractNum w:abstractNumId="0" w15:restartNumberingAfterBreak="0">
    <w:nsid w:val="FFFFFF7C"/>
    <w:multiLevelType w:val="singleLevel"/>
    <w:tmpl w:val="237226D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39265D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607A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922A4A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7F8788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CB80AA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00B7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7BA4D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D9A32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4FABD8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EA5553F"/>
    <w:multiLevelType w:val="hybridMultilevel"/>
    <w:tmpl w:val="43AEDF12"/>
    <w:lvl w:ilvl="0" w:tplc="96CC9BFE">
      <w:numFmt w:val="bullet"/>
      <w:lvlText w:val=""/>
      <w:lvlPicBulletId w:val="1"/>
      <w:lvlJc w:val="center"/>
      <w:pPr>
        <w:ind w:left="720" w:hanging="360"/>
      </w:pPr>
      <w:rPr>
        <w:rFonts w:ascii="Symbol" w:eastAsiaTheme="minorHAnsi" w:hAnsi="Symbol" w:cstheme="minorBid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F1A2692"/>
    <w:multiLevelType w:val="hybridMultilevel"/>
    <w:tmpl w:val="74A09CCE"/>
    <w:lvl w:ilvl="0" w:tplc="BA8C1290">
      <w:numFmt w:val="bullet"/>
      <w:pStyle w:val="Puce"/>
      <w:lvlText w:val=""/>
      <w:lvlPicBulletId w:val="0"/>
      <w:lvlJc w:val="left"/>
      <w:pPr>
        <w:ind w:left="720" w:hanging="360"/>
      </w:pPr>
      <w:rPr>
        <w:rFonts w:ascii="Symbol" w:eastAsiaTheme="minorHAnsi" w:hAnsi="Symbol" w:cstheme="minorBidi" w:hint="default"/>
        <w:color w:val="auto"/>
      </w:rPr>
    </w:lvl>
    <w:lvl w:ilvl="1" w:tplc="ABE2AD56">
      <w:start w:val="1"/>
      <w:numFmt w:val="bullet"/>
      <w:lvlText w:val=""/>
      <w:lvlPicBulletId w:val="1"/>
      <w:lvlJc w:val="left"/>
      <w:pPr>
        <w:ind w:left="1440" w:hanging="360"/>
      </w:pPr>
      <w:rPr>
        <w:rFonts w:ascii="Symbol" w:hAnsi="Symbol" w:hint="default"/>
        <w:color w:val="auto"/>
      </w:rPr>
    </w:lvl>
    <w:lvl w:ilvl="2" w:tplc="CE3A187C">
      <w:start w:val="1"/>
      <w:numFmt w:val="bullet"/>
      <w:lvlText w:val=""/>
      <w:lvlPicBulletId w:val="2"/>
      <w:lvlJc w:val="left"/>
      <w:pPr>
        <w:ind w:left="2160" w:hanging="360"/>
      </w:pPr>
      <w:rPr>
        <w:rFonts w:ascii="Symbol" w:hAnsi="Symbol" w:hint="default"/>
        <w:color w:val="auto"/>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D507781"/>
    <w:multiLevelType w:val="multilevel"/>
    <w:tmpl w:val="DA522388"/>
    <w:lvl w:ilvl="0">
      <w:start w:val="1"/>
      <w:numFmt w:val="upperRoman"/>
      <w:suff w:val="space"/>
      <w:lvlText w:val="%1 "/>
      <w:lvlJc w:val="left"/>
      <w:pPr>
        <w:ind w:left="360" w:hanging="360"/>
      </w:pPr>
      <w:rPr>
        <w:rFonts w:hint="default"/>
      </w:rPr>
    </w:lvl>
    <w:lvl w:ilvl="1">
      <w:start w:val="1"/>
      <w:numFmt w:val="upperLetter"/>
      <w:suff w:val="space"/>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5AE378F"/>
    <w:multiLevelType w:val="multilevel"/>
    <w:tmpl w:val="1CC05678"/>
    <w:lvl w:ilvl="0">
      <w:start w:val="1"/>
      <w:numFmt w:val="none"/>
      <w:pStyle w:val="Titre1"/>
      <w:suff w:val="nothing"/>
      <w:lvlText w:val=""/>
      <w:lvlJc w:val="left"/>
      <w:pPr>
        <w:ind w:left="0" w:firstLine="0"/>
      </w:pPr>
      <w:rPr>
        <w:rFonts w:hint="default"/>
      </w:rPr>
    </w:lvl>
    <w:lvl w:ilvl="1">
      <w:start w:val="1"/>
      <w:numFmt w:val="upperRoman"/>
      <w:suff w:val="space"/>
      <w:lvlText w:val="%2."/>
      <w:lvlJc w:val="left"/>
      <w:pPr>
        <w:ind w:left="0" w:firstLine="0"/>
      </w:pPr>
      <w:rPr>
        <w:rFonts w:hint="default"/>
      </w:rPr>
    </w:lvl>
    <w:lvl w:ilvl="2">
      <w:start w:val="1"/>
      <w:numFmt w:val="upperLetter"/>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lowerLetter"/>
      <w:suff w:val="space"/>
      <w:lvlText w:val="%2.%3.%4.%5."/>
      <w:lvlJc w:val="left"/>
      <w:pPr>
        <w:ind w:left="567" w:firstLine="0"/>
      </w:pPr>
      <w:rPr>
        <w:rFonts w:hint="default"/>
      </w:rPr>
    </w:lvl>
    <w:lvl w:ilvl="5">
      <w:start w:val="1"/>
      <w:numFmt w:val="lowerRoman"/>
      <w:pStyle w:val="Titre6"/>
      <w:suff w:val="space"/>
      <w:lvlText w:val="%6."/>
      <w:lvlJc w:val="left"/>
      <w:pPr>
        <w:ind w:left="1247" w:firstLine="0"/>
      </w:pPr>
      <w:rPr>
        <w:rFonts w:hint="default"/>
      </w:rPr>
    </w:lvl>
    <w:lvl w:ilvl="6">
      <w:start w:val="1"/>
      <w:numFmt w:val="decimal"/>
      <w:lvlText w:val="%7."/>
      <w:lvlJc w:val="left"/>
      <w:pPr>
        <w:ind w:left="1701" w:firstLine="0"/>
      </w:pPr>
      <w:rPr>
        <w:rFonts w:hint="default"/>
      </w:rPr>
    </w:lvl>
    <w:lvl w:ilvl="7">
      <w:start w:val="1"/>
      <w:numFmt w:val="lowerLetter"/>
      <w:lvlText w:val="%8."/>
      <w:lvlJc w:val="left"/>
      <w:pPr>
        <w:ind w:left="2155" w:firstLine="0"/>
      </w:pPr>
      <w:rPr>
        <w:rFonts w:hint="default"/>
      </w:rPr>
    </w:lvl>
    <w:lvl w:ilvl="8">
      <w:start w:val="1"/>
      <w:numFmt w:val="decimal"/>
      <w:lvlText w:val="%9."/>
      <w:lvlJc w:val="left"/>
      <w:pPr>
        <w:ind w:left="2835" w:firstLine="0"/>
      </w:pPr>
      <w:rPr>
        <w:rFonts w:hint="default"/>
      </w:rPr>
    </w:lvl>
  </w:abstractNum>
  <w:num w:numId="1" w16cid:durableId="1246839381">
    <w:abstractNumId w:val="8"/>
  </w:num>
  <w:num w:numId="2" w16cid:durableId="2012222651">
    <w:abstractNumId w:val="3"/>
  </w:num>
  <w:num w:numId="3" w16cid:durableId="1399858827">
    <w:abstractNumId w:val="2"/>
  </w:num>
  <w:num w:numId="4" w16cid:durableId="1559972129">
    <w:abstractNumId w:val="1"/>
  </w:num>
  <w:num w:numId="5" w16cid:durableId="857039822">
    <w:abstractNumId w:val="0"/>
  </w:num>
  <w:num w:numId="6" w16cid:durableId="1265502871">
    <w:abstractNumId w:val="9"/>
  </w:num>
  <w:num w:numId="7" w16cid:durableId="221410088">
    <w:abstractNumId w:val="7"/>
  </w:num>
  <w:num w:numId="8" w16cid:durableId="260845916">
    <w:abstractNumId w:val="6"/>
  </w:num>
  <w:num w:numId="9" w16cid:durableId="1371296046">
    <w:abstractNumId w:val="5"/>
  </w:num>
  <w:num w:numId="10" w16cid:durableId="609968220">
    <w:abstractNumId w:val="4"/>
  </w:num>
  <w:num w:numId="11" w16cid:durableId="1514957028">
    <w:abstractNumId w:val="13"/>
  </w:num>
  <w:num w:numId="12" w16cid:durableId="1151557913">
    <w:abstractNumId w:val="12"/>
  </w:num>
  <w:num w:numId="13" w16cid:durableId="1233152898">
    <w:abstractNumId w:val="11"/>
  </w:num>
  <w:num w:numId="14" w16cid:durableId="155130899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643E"/>
    <w:rsid w:val="00007ACF"/>
    <w:rsid w:val="00011728"/>
    <w:rsid w:val="000212C9"/>
    <w:rsid w:val="00026AB8"/>
    <w:rsid w:val="00031D93"/>
    <w:rsid w:val="00031E52"/>
    <w:rsid w:val="00032F4F"/>
    <w:rsid w:val="00033119"/>
    <w:rsid w:val="000360AC"/>
    <w:rsid w:val="000361F7"/>
    <w:rsid w:val="00042492"/>
    <w:rsid w:val="00042647"/>
    <w:rsid w:val="000428CF"/>
    <w:rsid w:val="00045D10"/>
    <w:rsid w:val="000535F8"/>
    <w:rsid w:val="0006106D"/>
    <w:rsid w:val="000655C8"/>
    <w:rsid w:val="00070CAF"/>
    <w:rsid w:val="00077D4E"/>
    <w:rsid w:val="00083DF2"/>
    <w:rsid w:val="00091668"/>
    <w:rsid w:val="0009359B"/>
    <w:rsid w:val="000967A6"/>
    <w:rsid w:val="000A2C9B"/>
    <w:rsid w:val="000A75C7"/>
    <w:rsid w:val="000B2A8F"/>
    <w:rsid w:val="000B3055"/>
    <w:rsid w:val="000B552E"/>
    <w:rsid w:val="000C2C1D"/>
    <w:rsid w:val="000C5234"/>
    <w:rsid w:val="000C7386"/>
    <w:rsid w:val="000D1D70"/>
    <w:rsid w:val="000D27F1"/>
    <w:rsid w:val="000D469F"/>
    <w:rsid w:val="000D51C7"/>
    <w:rsid w:val="000D6AD9"/>
    <w:rsid w:val="000D6D2F"/>
    <w:rsid w:val="000E56FF"/>
    <w:rsid w:val="000E5B46"/>
    <w:rsid w:val="00143174"/>
    <w:rsid w:val="0014460E"/>
    <w:rsid w:val="001600BB"/>
    <w:rsid w:val="00162BA9"/>
    <w:rsid w:val="001704DF"/>
    <w:rsid w:val="00184922"/>
    <w:rsid w:val="0018758A"/>
    <w:rsid w:val="0019654E"/>
    <w:rsid w:val="00197FA3"/>
    <w:rsid w:val="001A5E6F"/>
    <w:rsid w:val="001A76CE"/>
    <w:rsid w:val="001C4920"/>
    <w:rsid w:val="001C7068"/>
    <w:rsid w:val="001E37F2"/>
    <w:rsid w:val="002000BC"/>
    <w:rsid w:val="00203D0E"/>
    <w:rsid w:val="0020641F"/>
    <w:rsid w:val="00216558"/>
    <w:rsid w:val="00216F27"/>
    <w:rsid w:val="002312FD"/>
    <w:rsid w:val="00240666"/>
    <w:rsid w:val="00250089"/>
    <w:rsid w:val="0025490B"/>
    <w:rsid w:val="002629A5"/>
    <w:rsid w:val="00266EAD"/>
    <w:rsid w:val="00275F29"/>
    <w:rsid w:val="002837C1"/>
    <w:rsid w:val="00291340"/>
    <w:rsid w:val="00297F5C"/>
    <w:rsid w:val="002A18E0"/>
    <w:rsid w:val="002C1470"/>
    <w:rsid w:val="002C386E"/>
    <w:rsid w:val="002C6D1C"/>
    <w:rsid w:val="002D4AB4"/>
    <w:rsid w:val="002D7D62"/>
    <w:rsid w:val="002E3C2A"/>
    <w:rsid w:val="002E6D32"/>
    <w:rsid w:val="002F2F2D"/>
    <w:rsid w:val="00302094"/>
    <w:rsid w:val="00310A17"/>
    <w:rsid w:val="0031643E"/>
    <w:rsid w:val="00317FDA"/>
    <w:rsid w:val="003228EC"/>
    <w:rsid w:val="003235A8"/>
    <w:rsid w:val="003306A3"/>
    <w:rsid w:val="00341BD7"/>
    <w:rsid w:val="00345390"/>
    <w:rsid w:val="00346A3F"/>
    <w:rsid w:val="0035669F"/>
    <w:rsid w:val="003569D3"/>
    <w:rsid w:val="00364902"/>
    <w:rsid w:val="00366AF5"/>
    <w:rsid w:val="00381BBA"/>
    <w:rsid w:val="00387E9E"/>
    <w:rsid w:val="00391299"/>
    <w:rsid w:val="00394C3F"/>
    <w:rsid w:val="003A2A23"/>
    <w:rsid w:val="003A57F3"/>
    <w:rsid w:val="003B5D97"/>
    <w:rsid w:val="003B6813"/>
    <w:rsid w:val="003C5874"/>
    <w:rsid w:val="003C5A93"/>
    <w:rsid w:val="003C5F43"/>
    <w:rsid w:val="003C6164"/>
    <w:rsid w:val="003D5BCA"/>
    <w:rsid w:val="003D5E91"/>
    <w:rsid w:val="003E7F31"/>
    <w:rsid w:val="003F46C0"/>
    <w:rsid w:val="0040440A"/>
    <w:rsid w:val="0040531B"/>
    <w:rsid w:val="0040543C"/>
    <w:rsid w:val="0040586E"/>
    <w:rsid w:val="004126C5"/>
    <w:rsid w:val="00413AFE"/>
    <w:rsid w:val="004263E3"/>
    <w:rsid w:val="00432901"/>
    <w:rsid w:val="004336DC"/>
    <w:rsid w:val="00434DE0"/>
    <w:rsid w:val="00452389"/>
    <w:rsid w:val="00455818"/>
    <w:rsid w:val="00464C49"/>
    <w:rsid w:val="004838CC"/>
    <w:rsid w:val="00487E64"/>
    <w:rsid w:val="004A34DF"/>
    <w:rsid w:val="004A6402"/>
    <w:rsid w:val="004B16E1"/>
    <w:rsid w:val="004B1B25"/>
    <w:rsid w:val="004C5850"/>
    <w:rsid w:val="004D45F3"/>
    <w:rsid w:val="004D73A6"/>
    <w:rsid w:val="004E1873"/>
    <w:rsid w:val="004E25D5"/>
    <w:rsid w:val="004E4AD4"/>
    <w:rsid w:val="00513882"/>
    <w:rsid w:val="005333AA"/>
    <w:rsid w:val="00533689"/>
    <w:rsid w:val="00536590"/>
    <w:rsid w:val="005456F9"/>
    <w:rsid w:val="00550C17"/>
    <w:rsid w:val="00551F7F"/>
    <w:rsid w:val="005610F9"/>
    <w:rsid w:val="00562F95"/>
    <w:rsid w:val="00563CB4"/>
    <w:rsid w:val="00574C19"/>
    <w:rsid w:val="005754B8"/>
    <w:rsid w:val="0057592F"/>
    <w:rsid w:val="00581EDE"/>
    <w:rsid w:val="00593C63"/>
    <w:rsid w:val="0059401A"/>
    <w:rsid w:val="005950AE"/>
    <w:rsid w:val="005A4E5B"/>
    <w:rsid w:val="005B0A6B"/>
    <w:rsid w:val="005C54E6"/>
    <w:rsid w:val="005D0F38"/>
    <w:rsid w:val="005D3D3A"/>
    <w:rsid w:val="005D3DD3"/>
    <w:rsid w:val="005E3407"/>
    <w:rsid w:val="005E71D7"/>
    <w:rsid w:val="00612EBB"/>
    <w:rsid w:val="00614B9D"/>
    <w:rsid w:val="00616AB3"/>
    <w:rsid w:val="00624E94"/>
    <w:rsid w:val="00627883"/>
    <w:rsid w:val="006409FF"/>
    <w:rsid w:val="00651B32"/>
    <w:rsid w:val="006717BA"/>
    <w:rsid w:val="006823A5"/>
    <w:rsid w:val="00682B84"/>
    <w:rsid w:val="00682C24"/>
    <w:rsid w:val="00693835"/>
    <w:rsid w:val="0069738E"/>
    <w:rsid w:val="006A0470"/>
    <w:rsid w:val="006B5BF1"/>
    <w:rsid w:val="006C2426"/>
    <w:rsid w:val="006E3364"/>
    <w:rsid w:val="006E4612"/>
    <w:rsid w:val="00701C40"/>
    <w:rsid w:val="00707E89"/>
    <w:rsid w:val="00727C20"/>
    <w:rsid w:val="007332B0"/>
    <w:rsid w:val="007336EE"/>
    <w:rsid w:val="00733E22"/>
    <w:rsid w:val="0073716D"/>
    <w:rsid w:val="00740CB7"/>
    <w:rsid w:val="00741EEA"/>
    <w:rsid w:val="0074449F"/>
    <w:rsid w:val="00744F9C"/>
    <w:rsid w:val="00745F6B"/>
    <w:rsid w:val="00765853"/>
    <w:rsid w:val="00765C5B"/>
    <w:rsid w:val="00774FCA"/>
    <w:rsid w:val="007774C7"/>
    <w:rsid w:val="0079046F"/>
    <w:rsid w:val="00795745"/>
    <w:rsid w:val="00797A41"/>
    <w:rsid w:val="00797D03"/>
    <w:rsid w:val="007A09DD"/>
    <w:rsid w:val="007A146E"/>
    <w:rsid w:val="007A79F6"/>
    <w:rsid w:val="007C07F2"/>
    <w:rsid w:val="007C2A8D"/>
    <w:rsid w:val="007E2EF4"/>
    <w:rsid w:val="007E323B"/>
    <w:rsid w:val="007E3DB0"/>
    <w:rsid w:val="007F659A"/>
    <w:rsid w:val="0080012E"/>
    <w:rsid w:val="00800E03"/>
    <w:rsid w:val="00803E45"/>
    <w:rsid w:val="00814317"/>
    <w:rsid w:val="0081454D"/>
    <w:rsid w:val="008166BC"/>
    <w:rsid w:val="00837091"/>
    <w:rsid w:val="008546B8"/>
    <w:rsid w:val="00860C74"/>
    <w:rsid w:val="00864F7C"/>
    <w:rsid w:val="008675AA"/>
    <w:rsid w:val="00870024"/>
    <w:rsid w:val="008748EC"/>
    <w:rsid w:val="008763AB"/>
    <w:rsid w:val="00880656"/>
    <w:rsid w:val="00884872"/>
    <w:rsid w:val="00894625"/>
    <w:rsid w:val="008A31A3"/>
    <w:rsid w:val="008A580A"/>
    <w:rsid w:val="008D1E0B"/>
    <w:rsid w:val="008E037E"/>
    <w:rsid w:val="008E5AC2"/>
    <w:rsid w:val="008F0EDB"/>
    <w:rsid w:val="008F2F62"/>
    <w:rsid w:val="008F4A01"/>
    <w:rsid w:val="008F785E"/>
    <w:rsid w:val="009010B9"/>
    <w:rsid w:val="00903C54"/>
    <w:rsid w:val="009237DD"/>
    <w:rsid w:val="0093300A"/>
    <w:rsid w:val="0094081D"/>
    <w:rsid w:val="00957603"/>
    <w:rsid w:val="00957C46"/>
    <w:rsid w:val="00972C85"/>
    <w:rsid w:val="0097469F"/>
    <w:rsid w:val="009835E0"/>
    <w:rsid w:val="00990D04"/>
    <w:rsid w:val="009955CB"/>
    <w:rsid w:val="009A762A"/>
    <w:rsid w:val="009B61E4"/>
    <w:rsid w:val="009C4BC6"/>
    <w:rsid w:val="009D7D3D"/>
    <w:rsid w:val="00A10FFA"/>
    <w:rsid w:val="00A17DD3"/>
    <w:rsid w:val="00A21B55"/>
    <w:rsid w:val="00A24662"/>
    <w:rsid w:val="00A31B27"/>
    <w:rsid w:val="00A3688F"/>
    <w:rsid w:val="00A40195"/>
    <w:rsid w:val="00A447AB"/>
    <w:rsid w:val="00A50C5A"/>
    <w:rsid w:val="00A66235"/>
    <w:rsid w:val="00A74ECB"/>
    <w:rsid w:val="00A85852"/>
    <w:rsid w:val="00A91250"/>
    <w:rsid w:val="00AA2A91"/>
    <w:rsid w:val="00AA3006"/>
    <w:rsid w:val="00AC24FB"/>
    <w:rsid w:val="00AD1584"/>
    <w:rsid w:val="00AE322E"/>
    <w:rsid w:val="00AF1924"/>
    <w:rsid w:val="00AF4CF8"/>
    <w:rsid w:val="00AF4F53"/>
    <w:rsid w:val="00B03C68"/>
    <w:rsid w:val="00B1721A"/>
    <w:rsid w:val="00B17E62"/>
    <w:rsid w:val="00B17FC6"/>
    <w:rsid w:val="00B317A5"/>
    <w:rsid w:val="00B40BCF"/>
    <w:rsid w:val="00B43915"/>
    <w:rsid w:val="00B469B7"/>
    <w:rsid w:val="00B478A9"/>
    <w:rsid w:val="00B47C08"/>
    <w:rsid w:val="00B54C56"/>
    <w:rsid w:val="00B567D3"/>
    <w:rsid w:val="00B65BA1"/>
    <w:rsid w:val="00B803B6"/>
    <w:rsid w:val="00B8067B"/>
    <w:rsid w:val="00B9007D"/>
    <w:rsid w:val="00B905D6"/>
    <w:rsid w:val="00BA249B"/>
    <w:rsid w:val="00BB15A0"/>
    <w:rsid w:val="00BC54FC"/>
    <w:rsid w:val="00BC557B"/>
    <w:rsid w:val="00BC6275"/>
    <w:rsid w:val="00BD1CB9"/>
    <w:rsid w:val="00BE2589"/>
    <w:rsid w:val="00BE6E2E"/>
    <w:rsid w:val="00BE7A8C"/>
    <w:rsid w:val="00BF2748"/>
    <w:rsid w:val="00BF463A"/>
    <w:rsid w:val="00BF6191"/>
    <w:rsid w:val="00BF6EE8"/>
    <w:rsid w:val="00C062E1"/>
    <w:rsid w:val="00C15986"/>
    <w:rsid w:val="00C237E3"/>
    <w:rsid w:val="00C241A9"/>
    <w:rsid w:val="00C2444F"/>
    <w:rsid w:val="00C3054D"/>
    <w:rsid w:val="00C34B97"/>
    <w:rsid w:val="00C370A0"/>
    <w:rsid w:val="00C44FBE"/>
    <w:rsid w:val="00C53C1A"/>
    <w:rsid w:val="00C54FC9"/>
    <w:rsid w:val="00C574AC"/>
    <w:rsid w:val="00C669AF"/>
    <w:rsid w:val="00C67E78"/>
    <w:rsid w:val="00C70325"/>
    <w:rsid w:val="00C71C54"/>
    <w:rsid w:val="00C87457"/>
    <w:rsid w:val="00C92008"/>
    <w:rsid w:val="00C95AE8"/>
    <w:rsid w:val="00CA03C7"/>
    <w:rsid w:val="00CB008A"/>
    <w:rsid w:val="00CB0F25"/>
    <w:rsid w:val="00CB2E94"/>
    <w:rsid w:val="00CB4347"/>
    <w:rsid w:val="00CB4B66"/>
    <w:rsid w:val="00CC2B1D"/>
    <w:rsid w:val="00CC2B6D"/>
    <w:rsid w:val="00CD41C0"/>
    <w:rsid w:val="00CD69E1"/>
    <w:rsid w:val="00CE0101"/>
    <w:rsid w:val="00CE05A2"/>
    <w:rsid w:val="00CE335D"/>
    <w:rsid w:val="00CE4115"/>
    <w:rsid w:val="00CF1FE9"/>
    <w:rsid w:val="00D105D5"/>
    <w:rsid w:val="00D120D5"/>
    <w:rsid w:val="00D134E0"/>
    <w:rsid w:val="00D16851"/>
    <w:rsid w:val="00D27410"/>
    <w:rsid w:val="00D31DE6"/>
    <w:rsid w:val="00D32A2F"/>
    <w:rsid w:val="00D3551E"/>
    <w:rsid w:val="00D3631C"/>
    <w:rsid w:val="00D51AC6"/>
    <w:rsid w:val="00D5364D"/>
    <w:rsid w:val="00D5544D"/>
    <w:rsid w:val="00D83F43"/>
    <w:rsid w:val="00D97413"/>
    <w:rsid w:val="00DA6854"/>
    <w:rsid w:val="00DA7C0B"/>
    <w:rsid w:val="00DB2BA3"/>
    <w:rsid w:val="00DD2940"/>
    <w:rsid w:val="00DD6851"/>
    <w:rsid w:val="00DE4019"/>
    <w:rsid w:val="00DE4D3C"/>
    <w:rsid w:val="00DE743E"/>
    <w:rsid w:val="00DF3C04"/>
    <w:rsid w:val="00E04716"/>
    <w:rsid w:val="00E074EC"/>
    <w:rsid w:val="00E14BB5"/>
    <w:rsid w:val="00E15B57"/>
    <w:rsid w:val="00E26477"/>
    <w:rsid w:val="00E36336"/>
    <w:rsid w:val="00E43E88"/>
    <w:rsid w:val="00E4487A"/>
    <w:rsid w:val="00E602A2"/>
    <w:rsid w:val="00E72347"/>
    <w:rsid w:val="00E77361"/>
    <w:rsid w:val="00E9051D"/>
    <w:rsid w:val="00E94496"/>
    <w:rsid w:val="00EA2A9A"/>
    <w:rsid w:val="00EC6439"/>
    <w:rsid w:val="00EC6B7C"/>
    <w:rsid w:val="00ED2F32"/>
    <w:rsid w:val="00ED37BC"/>
    <w:rsid w:val="00ED71EF"/>
    <w:rsid w:val="00EE02EE"/>
    <w:rsid w:val="00EE059F"/>
    <w:rsid w:val="00EF77D4"/>
    <w:rsid w:val="00F12AE7"/>
    <w:rsid w:val="00F2264B"/>
    <w:rsid w:val="00F26AEC"/>
    <w:rsid w:val="00F30BB2"/>
    <w:rsid w:val="00F31C82"/>
    <w:rsid w:val="00F33578"/>
    <w:rsid w:val="00F37423"/>
    <w:rsid w:val="00F40B29"/>
    <w:rsid w:val="00F517F7"/>
    <w:rsid w:val="00F558F4"/>
    <w:rsid w:val="00F61AAD"/>
    <w:rsid w:val="00F714C6"/>
    <w:rsid w:val="00F72A58"/>
    <w:rsid w:val="00F760A0"/>
    <w:rsid w:val="00F769B3"/>
    <w:rsid w:val="00F80728"/>
    <w:rsid w:val="00F92C04"/>
    <w:rsid w:val="00F94669"/>
    <w:rsid w:val="00FA46D7"/>
    <w:rsid w:val="00FB58F6"/>
    <w:rsid w:val="00FB794B"/>
    <w:rsid w:val="00FC1DA7"/>
    <w:rsid w:val="00FC73BC"/>
    <w:rsid w:val="00FD4E8B"/>
    <w:rsid w:val="00FF471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29A7E7"/>
  <w15:chartTrackingRefBased/>
  <w15:docId w15:val="{CBBD57F4-D0AE-4056-BFFA-4581C43D0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646464" w:themeColor="text2"/>
        <w:sz w:val="22"/>
        <w:szCs w:val="22"/>
        <w:lang w:val="fr-FR" w:eastAsia="en-US" w:bidi="ar-SA"/>
      </w:rPr>
    </w:rPrDefault>
    <w:pPrDefault>
      <w:pPr>
        <w:spacing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ableaux)"/>
    <w:next w:val="Corpsdetexte"/>
    <w:rsid w:val="00AF4F53"/>
    <w:rPr>
      <w:sz w:val="20"/>
    </w:rPr>
  </w:style>
  <w:style w:type="paragraph" w:styleId="Titre1">
    <w:name w:val="heading 1"/>
    <w:basedOn w:val="Normal"/>
    <w:next w:val="Corpsdetexte"/>
    <w:link w:val="Titre1Car"/>
    <w:uiPriority w:val="9"/>
    <w:rsid w:val="00FB794B"/>
    <w:pPr>
      <w:keepNext/>
      <w:keepLines/>
      <w:pageBreakBefore/>
      <w:numPr>
        <w:numId w:val="11"/>
      </w:numPr>
      <w:pBdr>
        <w:bottom w:val="single" w:sz="12" w:space="1" w:color="92D400" w:themeColor="accent3"/>
      </w:pBdr>
      <w:shd w:val="clear" w:color="auto" w:fill="92D400" w:themeFill="accent3"/>
      <w:spacing w:before="240" w:after="360"/>
      <w:jc w:val="center"/>
      <w:outlineLvl w:val="0"/>
    </w:pPr>
    <w:rPr>
      <w:rFonts w:asciiTheme="majorHAnsi" w:eastAsiaTheme="majorEastAsia" w:hAnsiTheme="majorHAnsi" w:cstheme="majorBidi"/>
      <w:color w:val="FFFFFF" w:themeColor="background1"/>
      <w:sz w:val="52"/>
      <w:szCs w:val="32"/>
    </w:rPr>
  </w:style>
  <w:style w:type="paragraph" w:styleId="Titre2">
    <w:name w:val="heading 2"/>
    <w:basedOn w:val="Normal"/>
    <w:next w:val="Corpsdetexte"/>
    <w:link w:val="Titre2Car"/>
    <w:uiPriority w:val="9"/>
    <w:unhideWhenUsed/>
    <w:qFormat/>
    <w:rsid w:val="00BF463A"/>
    <w:pPr>
      <w:keepNext/>
      <w:keepLines/>
      <w:pBdr>
        <w:bottom w:val="single" w:sz="18" w:space="1" w:color="92D400" w:themeColor="accent3"/>
      </w:pBdr>
      <w:spacing w:before="400" w:after="240"/>
      <w:outlineLvl w:val="1"/>
    </w:pPr>
    <w:rPr>
      <w:rFonts w:asciiTheme="majorHAnsi" w:eastAsiaTheme="majorEastAsia" w:hAnsiTheme="majorHAnsi" w:cstheme="majorBidi"/>
      <w:color w:val="005293" w:themeColor="accent1"/>
      <w:sz w:val="44"/>
      <w:szCs w:val="26"/>
    </w:rPr>
  </w:style>
  <w:style w:type="paragraph" w:styleId="Titre3">
    <w:name w:val="heading 3"/>
    <w:basedOn w:val="Normal"/>
    <w:next w:val="Corpsdetexte"/>
    <w:link w:val="Titre3Car"/>
    <w:uiPriority w:val="9"/>
    <w:unhideWhenUsed/>
    <w:qFormat/>
    <w:rsid w:val="00BF463A"/>
    <w:pPr>
      <w:keepNext/>
      <w:keepLines/>
      <w:shd w:val="clear" w:color="auto" w:fill="005293" w:themeFill="accent1"/>
      <w:spacing w:before="360" w:after="240"/>
      <w:outlineLvl w:val="2"/>
    </w:pPr>
    <w:rPr>
      <w:rFonts w:asciiTheme="majorHAnsi" w:eastAsiaTheme="majorEastAsia" w:hAnsiTheme="majorHAnsi" w:cstheme="majorBidi"/>
      <w:color w:val="FFFFFF" w:themeColor="background1"/>
      <w:sz w:val="32"/>
      <w:szCs w:val="24"/>
    </w:rPr>
  </w:style>
  <w:style w:type="paragraph" w:styleId="Titre4">
    <w:name w:val="heading 4"/>
    <w:basedOn w:val="Normal"/>
    <w:next w:val="Corpsdetexte"/>
    <w:link w:val="Titre4Car"/>
    <w:uiPriority w:val="9"/>
    <w:unhideWhenUsed/>
    <w:qFormat/>
    <w:rsid w:val="00BF463A"/>
    <w:pPr>
      <w:keepNext/>
      <w:keepLines/>
      <w:spacing w:before="320" w:after="240"/>
      <w:outlineLvl w:val="3"/>
    </w:pPr>
    <w:rPr>
      <w:rFonts w:asciiTheme="majorHAnsi" w:eastAsiaTheme="majorEastAsia" w:hAnsiTheme="majorHAnsi" w:cstheme="majorBidi"/>
      <w:iCs/>
      <w:color w:val="1598D9" w:themeColor="accent2"/>
      <w:sz w:val="28"/>
    </w:rPr>
  </w:style>
  <w:style w:type="paragraph" w:styleId="Titre5">
    <w:name w:val="heading 5"/>
    <w:basedOn w:val="Normal"/>
    <w:next w:val="Corpsdetexte"/>
    <w:link w:val="Titre5Car"/>
    <w:uiPriority w:val="9"/>
    <w:unhideWhenUsed/>
    <w:qFormat/>
    <w:rsid w:val="00BF463A"/>
    <w:pPr>
      <w:keepNext/>
      <w:keepLines/>
      <w:pBdr>
        <w:bottom w:val="single" w:sz="12" w:space="1" w:color="92D400" w:themeColor="accent3"/>
      </w:pBdr>
      <w:spacing w:before="280" w:after="240"/>
      <w:outlineLvl w:val="4"/>
    </w:pPr>
    <w:rPr>
      <w:rFonts w:asciiTheme="majorHAnsi" w:eastAsiaTheme="majorEastAsia" w:hAnsiTheme="majorHAnsi" w:cstheme="majorBidi"/>
      <w:color w:val="005293" w:themeColor="accent1"/>
      <w:sz w:val="24"/>
    </w:rPr>
  </w:style>
  <w:style w:type="paragraph" w:styleId="Titre6">
    <w:name w:val="heading 6"/>
    <w:basedOn w:val="Normal"/>
    <w:next w:val="Corpsdetexte"/>
    <w:link w:val="Titre6Car"/>
    <w:uiPriority w:val="9"/>
    <w:unhideWhenUsed/>
    <w:qFormat/>
    <w:rsid w:val="00A66235"/>
    <w:pPr>
      <w:keepNext/>
      <w:keepLines/>
      <w:numPr>
        <w:ilvl w:val="5"/>
        <w:numId w:val="11"/>
      </w:numPr>
      <w:spacing w:before="240" w:after="240"/>
      <w:outlineLvl w:val="5"/>
    </w:pPr>
    <w:rPr>
      <w:rFonts w:asciiTheme="majorHAnsi" w:eastAsiaTheme="majorEastAsia" w:hAnsiTheme="majorHAnsi" w:cstheme="majorBidi"/>
      <w:color w:val="323232" w:themeColor="text1"/>
      <w:sz w:val="24"/>
    </w:rPr>
  </w:style>
  <w:style w:type="paragraph" w:styleId="Titre7">
    <w:name w:val="heading 7"/>
    <w:basedOn w:val="Normal"/>
    <w:next w:val="Corpsdetexte"/>
    <w:link w:val="Titre7Car"/>
    <w:uiPriority w:val="9"/>
    <w:semiHidden/>
    <w:unhideWhenUsed/>
    <w:qFormat/>
    <w:rsid w:val="005D0F38"/>
    <w:pPr>
      <w:keepNext/>
      <w:keepLines/>
      <w:spacing w:before="40"/>
      <w:outlineLvl w:val="6"/>
    </w:pPr>
    <w:rPr>
      <w:rFonts w:asciiTheme="majorHAnsi" w:eastAsiaTheme="majorEastAsia" w:hAnsiTheme="majorHAnsi" w:cstheme="majorBidi"/>
      <w:i/>
      <w:iCs/>
      <w:color w:val="002849"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1643E"/>
    <w:pPr>
      <w:tabs>
        <w:tab w:val="center" w:pos="4536"/>
        <w:tab w:val="right" w:pos="9072"/>
      </w:tabs>
    </w:pPr>
  </w:style>
  <w:style w:type="character" w:customStyle="1" w:styleId="En-tteCar">
    <w:name w:val="En-tête Car"/>
    <w:basedOn w:val="Policepardfaut"/>
    <w:link w:val="En-tte"/>
    <w:uiPriority w:val="99"/>
    <w:rsid w:val="0031643E"/>
  </w:style>
  <w:style w:type="paragraph" w:styleId="Pieddepage">
    <w:name w:val="footer"/>
    <w:basedOn w:val="Normal"/>
    <w:link w:val="PieddepageCar"/>
    <w:uiPriority w:val="99"/>
    <w:unhideWhenUsed/>
    <w:rsid w:val="0031643E"/>
    <w:pPr>
      <w:tabs>
        <w:tab w:val="center" w:pos="4536"/>
        <w:tab w:val="right" w:pos="9072"/>
      </w:tabs>
    </w:pPr>
  </w:style>
  <w:style w:type="character" w:customStyle="1" w:styleId="PieddepageCar">
    <w:name w:val="Pied de page Car"/>
    <w:basedOn w:val="Policepardfaut"/>
    <w:link w:val="Pieddepage"/>
    <w:uiPriority w:val="99"/>
    <w:rsid w:val="0031643E"/>
  </w:style>
  <w:style w:type="paragraph" w:styleId="Titre">
    <w:name w:val="Title"/>
    <w:basedOn w:val="Normal"/>
    <w:next w:val="Normal"/>
    <w:link w:val="TitreCar"/>
    <w:uiPriority w:val="10"/>
    <w:rsid w:val="0031643E"/>
    <w:pPr>
      <w:contextualSpacing/>
    </w:pPr>
    <w:rPr>
      <w:rFonts w:eastAsiaTheme="majorEastAsia" w:cstheme="majorBidi"/>
      <w:color w:val="FFFFFF" w:themeColor="background1"/>
      <w:spacing w:val="-10"/>
      <w:kern w:val="28"/>
      <w:sz w:val="44"/>
      <w:szCs w:val="56"/>
    </w:rPr>
  </w:style>
  <w:style w:type="character" w:customStyle="1" w:styleId="TitreCar">
    <w:name w:val="Titre Car"/>
    <w:basedOn w:val="Policepardfaut"/>
    <w:link w:val="Titre"/>
    <w:uiPriority w:val="10"/>
    <w:rsid w:val="0031643E"/>
    <w:rPr>
      <w:rFonts w:eastAsiaTheme="majorEastAsia" w:cstheme="majorBidi"/>
      <w:color w:val="FFFFFF" w:themeColor="background1"/>
      <w:spacing w:val="-10"/>
      <w:kern w:val="28"/>
      <w:sz w:val="44"/>
      <w:szCs w:val="56"/>
    </w:rPr>
  </w:style>
  <w:style w:type="paragraph" w:customStyle="1" w:styleId="Typededocument">
    <w:name w:val="Type de document"/>
    <w:basedOn w:val="Normal"/>
    <w:link w:val="TypededocumentCar"/>
    <w:rsid w:val="005754B8"/>
    <w:rPr>
      <w:color w:val="FFFFFF" w:themeColor="background1"/>
      <w:sz w:val="32"/>
    </w:rPr>
  </w:style>
  <w:style w:type="paragraph" w:styleId="Corpsdetexte">
    <w:name w:val="Body Text"/>
    <w:basedOn w:val="Normal"/>
    <w:link w:val="CorpsdetexteCar"/>
    <w:unhideWhenUsed/>
    <w:qFormat/>
    <w:rsid w:val="00C71C54"/>
    <w:pPr>
      <w:spacing w:before="200" w:after="200"/>
      <w:jc w:val="both"/>
    </w:pPr>
  </w:style>
  <w:style w:type="character" w:customStyle="1" w:styleId="CorpsdetexteCar">
    <w:name w:val="Corps de texte Car"/>
    <w:basedOn w:val="Policepardfaut"/>
    <w:link w:val="Corpsdetexte"/>
    <w:rsid w:val="00C71C54"/>
    <w:rPr>
      <w:sz w:val="20"/>
    </w:rPr>
  </w:style>
  <w:style w:type="character" w:styleId="Textedelespacerserv">
    <w:name w:val="Placeholder Text"/>
    <w:basedOn w:val="Policepardfaut"/>
    <w:uiPriority w:val="99"/>
    <w:semiHidden/>
    <w:rsid w:val="00745F6B"/>
    <w:rPr>
      <w:color w:val="808080"/>
    </w:rPr>
  </w:style>
  <w:style w:type="character" w:customStyle="1" w:styleId="Titre5Car">
    <w:name w:val="Titre 5 Car"/>
    <w:basedOn w:val="Policepardfaut"/>
    <w:link w:val="Titre5"/>
    <w:uiPriority w:val="9"/>
    <w:rsid w:val="00A66235"/>
    <w:rPr>
      <w:rFonts w:asciiTheme="majorHAnsi" w:eastAsiaTheme="majorEastAsia" w:hAnsiTheme="majorHAnsi" w:cstheme="majorBidi"/>
      <w:color w:val="005293" w:themeColor="accent1"/>
      <w:sz w:val="24"/>
    </w:rPr>
  </w:style>
  <w:style w:type="paragraph" w:customStyle="1" w:styleId="Commanditaire">
    <w:name w:val="Commanditaire"/>
    <w:basedOn w:val="Corpsdetexte"/>
    <w:link w:val="CommanditaireCar"/>
    <w:rsid w:val="000B552E"/>
    <w:pPr>
      <w:jc w:val="left"/>
    </w:pPr>
    <w:rPr>
      <w:b/>
      <w:color w:val="005293" w:themeColor="accent1"/>
    </w:rPr>
  </w:style>
  <w:style w:type="paragraph" w:styleId="Commentaire">
    <w:name w:val="annotation text"/>
    <w:basedOn w:val="Normal"/>
    <w:link w:val="CommentaireCar"/>
    <w:uiPriority w:val="99"/>
    <w:semiHidden/>
    <w:unhideWhenUsed/>
    <w:rsid w:val="0040531B"/>
    <w:rPr>
      <w:szCs w:val="20"/>
    </w:rPr>
  </w:style>
  <w:style w:type="character" w:customStyle="1" w:styleId="CommentaireCar">
    <w:name w:val="Commentaire Car"/>
    <w:basedOn w:val="Policepardfaut"/>
    <w:link w:val="Commentaire"/>
    <w:uiPriority w:val="99"/>
    <w:semiHidden/>
    <w:rsid w:val="0040531B"/>
    <w:rPr>
      <w:sz w:val="20"/>
      <w:szCs w:val="20"/>
    </w:rPr>
  </w:style>
  <w:style w:type="character" w:customStyle="1" w:styleId="Envaleur">
    <w:name w:val="En valeur"/>
    <w:basedOn w:val="CorpsdetexteCar"/>
    <w:uiPriority w:val="1"/>
    <w:qFormat/>
    <w:rsid w:val="00C71C54"/>
    <w:rPr>
      <w:b/>
      <w:color w:val="1598D9" w:themeColor="accent2"/>
      <w:sz w:val="20"/>
    </w:rPr>
  </w:style>
  <w:style w:type="character" w:customStyle="1" w:styleId="CommanditaireCar">
    <w:name w:val="Commanditaire Car"/>
    <w:basedOn w:val="CorpsdetexteCar"/>
    <w:link w:val="Commanditaire"/>
    <w:rsid w:val="000B552E"/>
    <w:rPr>
      <w:b/>
      <w:color w:val="005293" w:themeColor="accent1"/>
      <w:sz w:val="21"/>
    </w:rPr>
  </w:style>
  <w:style w:type="character" w:customStyle="1" w:styleId="Titre1Car">
    <w:name w:val="Titre 1 Car"/>
    <w:basedOn w:val="Policepardfaut"/>
    <w:link w:val="Titre1"/>
    <w:uiPriority w:val="9"/>
    <w:rsid w:val="00FB794B"/>
    <w:rPr>
      <w:rFonts w:asciiTheme="majorHAnsi" w:eastAsiaTheme="majorEastAsia" w:hAnsiTheme="majorHAnsi" w:cstheme="majorBidi"/>
      <w:color w:val="FFFFFF" w:themeColor="background1"/>
      <w:sz w:val="52"/>
      <w:szCs w:val="32"/>
      <w:shd w:val="clear" w:color="auto" w:fill="92D400" w:themeFill="accent3"/>
    </w:rPr>
  </w:style>
  <w:style w:type="character" w:customStyle="1" w:styleId="Titre2Car">
    <w:name w:val="Titre 2 Car"/>
    <w:basedOn w:val="Policepardfaut"/>
    <w:link w:val="Titre2"/>
    <w:uiPriority w:val="9"/>
    <w:rsid w:val="00A66235"/>
    <w:rPr>
      <w:rFonts w:asciiTheme="majorHAnsi" w:eastAsiaTheme="majorEastAsia" w:hAnsiTheme="majorHAnsi" w:cstheme="majorBidi"/>
      <w:color w:val="005293" w:themeColor="accent1"/>
      <w:sz w:val="44"/>
      <w:szCs w:val="26"/>
    </w:rPr>
  </w:style>
  <w:style w:type="character" w:customStyle="1" w:styleId="Titre3Car">
    <w:name w:val="Titre 3 Car"/>
    <w:basedOn w:val="Policepardfaut"/>
    <w:link w:val="Titre3"/>
    <w:uiPriority w:val="9"/>
    <w:rsid w:val="00A66235"/>
    <w:rPr>
      <w:rFonts w:asciiTheme="majorHAnsi" w:eastAsiaTheme="majorEastAsia" w:hAnsiTheme="majorHAnsi" w:cstheme="majorBidi"/>
      <w:color w:val="FFFFFF" w:themeColor="background1"/>
      <w:sz w:val="32"/>
      <w:szCs w:val="24"/>
      <w:shd w:val="clear" w:color="auto" w:fill="005293" w:themeFill="accent1"/>
    </w:rPr>
  </w:style>
  <w:style w:type="character" w:customStyle="1" w:styleId="Titre4Car">
    <w:name w:val="Titre 4 Car"/>
    <w:basedOn w:val="Policepardfaut"/>
    <w:link w:val="Titre4"/>
    <w:uiPriority w:val="9"/>
    <w:rsid w:val="00A66235"/>
    <w:rPr>
      <w:rFonts w:asciiTheme="majorHAnsi" w:eastAsiaTheme="majorEastAsia" w:hAnsiTheme="majorHAnsi" w:cstheme="majorBidi"/>
      <w:iCs/>
      <w:color w:val="1598D9" w:themeColor="accent2"/>
      <w:sz w:val="28"/>
    </w:rPr>
  </w:style>
  <w:style w:type="paragraph" w:customStyle="1" w:styleId="TitreTabledesmatires">
    <w:name w:val="Titre Table des matières"/>
    <w:basedOn w:val="Titre1"/>
    <w:next w:val="Corpsdetexte"/>
    <w:rsid w:val="00627883"/>
    <w:pPr>
      <w:numPr>
        <w:numId w:val="0"/>
      </w:numPr>
      <w:outlineLvl w:val="9"/>
    </w:pPr>
  </w:style>
  <w:style w:type="paragraph" w:customStyle="1" w:styleId="Lexique-Titre">
    <w:name w:val="Lexique - Titre"/>
    <w:basedOn w:val="Corpsdetexte"/>
    <w:next w:val="Lexique-Dfinition"/>
    <w:rsid w:val="002629A5"/>
    <w:pPr>
      <w:spacing w:before="60" w:after="0"/>
      <w:jc w:val="left"/>
    </w:pPr>
    <w:rPr>
      <w:b/>
      <w:color w:val="1598D9" w:themeColor="accent2"/>
    </w:rPr>
  </w:style>
  <w:style w:type="paragraph" w:styleId="TM1">
    <w:name w:val="toc 1"/>
    <w:basedOn w:val="Normal"/>
    <w:next w:val="Normal"/>
    <w:autoRedefine/>
    <w:uiPriority w:val="39"/>
    <w:unhideWhenUsed/>
    <w:rsid w:val="00266EAD"/>
    <w:pPr>
      <w:tabs>
        <w:tab w:val="right" w:leader="dot" w:pos="9628"/>
      </w:tabs>
      <w:spacing w:before="120" w:after="100"/>
    </w:pPr>
    <w:rPr>
      <w:b/>
      <w:caps/>
      <w:sz w:val="24"/>
    </w:rPr>
  </w:style>
  <w:style w:type="paragraph" w:customStyle="1" w:styleId="Lexique-Dfinition">
    <w:name w:val="Lexique - Définition"/>
    <w:basedOn w:val="Corpsdetexte"/>
    <w:next w:val="Lexique-Titre"/>
    <w:rsid w:val="002629A5"/>
    <w:pPr>
      <w:spacing w:before="60"/>
      <w:jc w:val="left"/>
    </w:pPr>
  </w:style>
  <w:style w:type="character" w:styleId="Lienhypertexte">
    <w:name w:val="Hyperlink"/>
    <w:basedOn w:val="Policepardfaut"/>
    <w:uiPriority w:val="99"/>
    <w:unhideWhenUsed/>
    <w:rsid w:val="00F31C82"/>
    <w:rPr>
      <w:color w:val="52299D" w:themeColor="hyperlink"/>
      <w:u w:val="single"/>
    </w:rPr>
  </w:style>
  <w:style w:type="character" w:customStyle="1" w:styleId="Titre6Car">
    <w:name w:val="Titre 6 Car"/>
    <w:basedOn w:val="Policepardfaut"/>
    <w:link w:val="Titre6"/>
    <w:uiPriority w:val="9"/>
    <w:rsid w:val="00A66235"/>
    <w:rPr>
      <w:rFonts w:asciiTheme="majorHAnsi" w:eastAsiaTheme="majorEastAsia" w:hAnsiTheme="majorHAnsi" w:cstheme="majorBidi"/>
      <w:color w:val="323232" w:themeColor="text1"/>
      <w:sz w:val="24"/>
    </w:rPr>
  </w:style>
  <w:style w:type="paragraph" w:styleId="TM2">
    <w:name w:val="toc 2"/>
    <w:basedOn w:val="Normal"/>
    <w:next w:val="Normal"/>
    <w:autoRedefine/>
    <w:uiPriority w:val="39"/>
    <w:unhideWhenUsed/>
    <w:rsid w:val="00266EAD"/>
    <w:pPr>
      <w:spacing w:before="60" w:after="60"/>
    </w:pPr>
    <w:rPr>
      <w:sz w:val="24"/>
    </w:rPr>
  </w:style>
  <w:style w:type="paragraph" w:styleId="TM3">
    <w:name w:val="toc 3"/>
    <w:basedOn w:val="Normal"/>
    <w:next w:val="Normal"/>
    <w:autoRedefine/>
    <w:uiPriority w:val="39"/>
    <w:unhideWhenUsed/>
    <w:rsid w:val="00FF4718"/>
    <w:pPr>
      <w:spacing w:after="60"/>
      <w:ind w:left="442"/>
    </w:pPr>
  </w:style>
  <w:style w:type="character" w:customStyle="1" w:styleId="TypededocumentCar">
    <w:name w:val="Type de document Car"/>
    <w:basedOn w:val="Policepardfaut"/>
    <w:link w:val="Typededocument"/>
    <w:rsid w:val="005754B8"/>
    <w:rPr>
      <w:color w:val="FFFFFF" w:themeColor="background1"/>
      <w:sz w:val="32"/>
    </w:rPr>
  </w:style>
  <w:style w:type="paragraph" w:customStyle="1" w:styleId="Puce">
    <w:name w:val="Puce"/>
    <w:basedOn w:val="Corpsdetexte"/>
    <w:uiPriority w:val="2"/>
    <w:qFormat/>
    <w:rsid w:val="009835E0"/>
    <w:pPr>
      <w:numPr>
        <w:numId w:val="13"/>
      </w:numPr>
      <w:spacing w:before="80" w:after="80"/>
      <w:ind w:left="714" w:hanging="357"/>
    </w:pPr>
  </w:style>
  <w:style w:type="table" w:styleId="Grilledutableau">
    <w:name w:val="Table Grid"/>
    <w:basedOn w:val="TableauNormal"/>
    <w:uiPriority w:val="39"/>
    <w:rsid w:val="004263E3"/>
    <w:pPr>
      <w:spacing w:before="60" w:after="60" w:line="240" w:lineRule="auto"/>
    </w:pPr>
    <w:rPr>
      <w:rFonts w:ascii="Century Gothic" w:hAnsi="Century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eauNormal"/>
    <w:uiPriority w:val="99"/>
    <w:rsid w:val="00B567D3"/>
    <w:pPr>
      <w:spacing w:line="240" w:lineRule="auto"/>
    </w:pPr>
    <w:tblPr>
      <w:tblStyleRowBandSize w:val="1"/>
      <w:tblBorders>
        <w:top w:val="single" w:sz="18" w:space="0" w:color="646464" w:themeColor="text2"/>
        <w:left w:val="single" w:sz="18" w:space="0" w:color="646464" w:themeColor="text2"/>
        <w:bottom w:val="single" w:sz="18" w:space="0" w:color="646464" w:themeColor="text2"/>
        <w:right w:val="single" w:sz="18" w:space="0" w:color="646464" w:themeColor="text2"/>
      </w:tblBorders>
      <w:tblCellMar>
        <w:top w:w="57" w:type="dxa"/>
        <w:left w:w="57" w:type="dxa"/>
        <w:right w:w="57" w:type="dxa"/>
      </w:tblCellMar>
    </w:tblPr>
    <w:tcPr>
      <w:tcMar>
        <w:top w:w="0" w:type="dxa"/>
      </w:tcMar>
    </w:tcPr>
    <w:tblStylePr w:type="firstRow">
      <w:pPr>
        <w:jc w:val="center"/>
      </w:pPr>
      <w:rPr>
        <w:rFonts w:asciiTheme="minorHAnsi" w:hAnsiTheme="minorHAnsi"/>
        <w:b/>
        <w:color w:val="FFFFFF" w:themeColor="background1"/>
        <w:sz w:val="24"/>
      </w:rPr>
      <w:tblPr/>
      <w:tcPr>
        <w:shd w:val="clear" w:color="auto" w:fill="646464" w:themeFill="text2"/>
      </w:tcPr>
    </w:tblStylePr>
    <w:tblStylePr w:type="band1Horz">
      <w:rPr>
        <w:color w:val="646464" w:themeColor="text2"/>
      </w:rPr>
    </w:tblStylePr>
    <w:tblStylePr w:type="band2Horz">
      <w:rPr>
        <w:color w:val="646464" w:themeColor="text2"/>
      </w:rPr>
      <w:tblPr>
        <w:tblCellMar>
          <w:top w:w="28" w:type="dxa"/>
          <w:left w:w="28" w:type="dxa"/>
          <w:bottom w:w="28" w:type="dxa"/>
          <w:right w:w="28" w:type="dxa"/>
        </w:tblCellMar>
      </w:tblPr>
    </w:tblStylePr>
  </w:style>
  <w:style w:type="paragraph" w:styleId="Citation">
    <w:name w:val="Quote"/>
    <w:basedOn w:val="Normal"/>
    <w:next w:val="Corpsdetexte"/>
    <w:link w:val="CitationCar"/>
    <w:uiPriority w:val="4"/>
    <w:qFormat/>
    <w:rsid w:val="00CB008A"/>
    <w:pPr>
      <w:pBdr>
        <w:top w:val="single" w:sz="6" w:space="1" w:color="1598D9" w:themeColor="accent2"/>
        <w:bottom w:val="single" w:sz="6" w:space="1" w:color="1598D9" w:themeColor="accent2"/>
      </w:pBdr>
      <w:spacing w:before="200"/>
      <w:ind w:left="864" w:right="864"/>
      <w:jc w:val="center"/>
    </w:pPr>
    <w:rPr>
      <w:i/>
      <w:iCs/>
      <w:color w:val="005293" w:themeColor="accent1"/>
    </w:rPr>
  </w:style>
  <w:style w:type="character" w:customStyle="1" w:styleId="CitationCar">
    <w:name w:val="Citation Car"/>
    <w:basedOn w:val="Policepardfaut"/>
    <w:link w:val="Citation"/>
    <w:uiPriority w:val="4"/>
    <w:rsid w:val="0074449F"/>
    <w:rPr>
      <w:i/>
      <w:iCs/>
      <w:color w:val="005293" w:themeColor="accent1"/>
      <w:sz w:val="20"/>
    </w:rPr>
  </w:style>
  <w:style w:type="paragraph" w:styleId="Lgende">
    <w:name w:val="caption"/>
    <w:basedOn w:val="Normal"/>
    <w:next w:val="Normal"/>
    <w:uiPriority w:val="5"/>
    <w:unhideWhenUsed/>
    <w:qFormat/>
    <w:rsid w:val="00CB008A"/>
    <w:pPr>
      <w:spacing w:before="80" w:after="200"/>
      <w:jc w:val="center"/>
    </w:pPr>
    <w:rPr>
      <w:i/>
      <w:iCs/>
      <w:color w:val="7030A0"/>
      <w:szCs w:val="18"/>
    </w:rPr>
  </w:style>
  <w:style w:type="paragraph" w:styleId="NormalWeb">
    <w:name w:val="Normal (Web)"/>
    <w:basedOn w:val="Normal"/>
    <w:uiPriority w:val="99"/>
    <w:semiHidden/>
    <w:unhideWhenUsed/>
    <w:rsid w:val="004336DC"/>
    <w:pPr>
      <w:spacing w:before="100" w:beforeAutospacing="1" w:after="100" w:afterAutospacing="1"/>
    </w:pPr>
    <w:rPr>
      <w:rFonts w:ascii="Times New Roman" w:eastAsiaTheme="minorEastAsia" w:hAnsi="Times New Roman" w:cs="Times New Roman"/>
      <w:color w:val="FFFFFF" w:themeColor="background1"/>
      <w:sz w:val="24"/>
      <w:szCs w:val="24"/>
      <w:lang w:eastAsia="fr-FR"/>
    </w:rPr>
  </w:style>
  <w:style w:type="character" w:styleId="Mentionnonrsolue">
    <w:name w:val="Unresolved Mention"/>
    <w:basedOn w:val="Policepardfaut"/>
    <w:uiPriority w:val="99"/>
    <w:semiHidden/>
    <w:unhideWhenUsed/>
    <w:rsid w:val="00B803B6"/>
    <w:rPr>
      <w:color w:val="808080"/>
      <w:shd w:val="clear" w:color="auto" w:fill="E6E6E6"/>
    </w:rPr>
  </w:style>
  <w:style w:type="character" w:customStyle="1" w:styleId="Titre7Car">
    <w:name w:val="Titre 7 Car"/>
    <w:basedOn w:val="Policepardfaut"/>
    <w:link w:val="Titre7"/>
    <w:uiPriority w:val="9"/>
    <w:semiHidden/>
    <w:rsid w:val="005D0F38"/>
    <w:rPr>
      <w:rFonts w:asciiTheme="majorHAnsi" w:eastAsiaTheme="majorEastAsia" w:hAnsiTheme="majorHAnsi" w:cstheme="majorBidi"/>
      <w:i/>
      <w:iCs/>
      <w:color w:val="002849" w:themeColor="accent1" w:themeShade="7F"/>
    </w:rPr>
  </w:style>
  <w:style w:type="paragraph" w:styleId="Textedebulles">
    <w:name w:val="Balloon Text"/>
    <w:basedOn w:val="Normal"/>
    <w:link w:val="TextedebullesCar"/>
    <w:uiPriority w:val="99"/>
    <w:semiHidden/>
    <w:unhideWhenUsed/>
    <w:rsid w:val="00860C74"/>
    <w:rPr>
      <w:rFonts w:ascii="Segoe UI" w:hAnsi="Segoe UI" w:cs="Segoe UI"/>
      <w:sz w:val="18"/>
      <w:szCs w:val="18"/>
    </w:rPr>
  </w:style>
  <w:style w:type="character" w:customStyle="1" w:styleId="TextedebullesCar">
    <w:name w:val="Texte de bulles Car"/>
    <w:basedOn w:val="Policepardfaut"/>
    <w:link w:val="Textedebulles"/>
    <w:uiPriority w:val="99"/>
    <w:semiHidden/>
    <w:rsid w:val="00860C74"/>
    <w:rPr>
      <w:rFonts w:ascii="Segoe UI" w:hAnsi="Segoe UI" w:cs="Segoe UI"/>
      <w:sz w:val="18"/>
      <w:szCs w:val="18"/>
    </w:rPr>
  </w:style>
  <w:style w:type="paragraph" w:customStyle="1" w:styleId="Conclusion">
    <w:name w:val="Conclusion"/>
    <w:basedOn w:val="Corpsdetexte"/>
    <w:uiPriority w:val="3"/>
    <w:qFormat/>
    <w:rsid w:val="000A75C7"/>
    <w:pPr>
      <w:pBdr>
        <w:top w:val="single" w:sz="12" w:space="4" w:color="D9D9D9" w:themeColor="background1" w:themeShade="D9"/>
        <w:left w:val="single" w:sz="12" w:space="4" w:color="D9D9D9" w:themeColor="background1" w:themeShade="D9"/>
        <w:bottom w:val="single" w:sz="12" w:space="4" w:color="D9D9D9" w:themeColor="background1" w:themeShade="D9"/>
        <w:right w:val="single" w:sz="12" w:space="4" w:color="D9D9D9" w:themeColor="background1" w:themeShade="D9"/>
      </w:pBdr>
      <w:shd w:val="clear" w:color="auto" w:fill="F2F2F2" w:themeFill="background1" w:themeFillShade="F2"/>
      <w:contextualSpacing/>
    </w:pPr>
    <w:rPr>
      <w:color w:val="323232" w:themeColor="text1"/>
    </w:rPr>
  </w:style>
  <w:style w:type="table" w:customStyle="1" w:styleId="Tableaudestructure">
    <w:name w:val="Tableau de structure"/>
    <w:basedOn w:val="TableauNormal"/>
    <w:uiPriority w:val="99"/>
    <w:rsid w:val="006B5BF1"/>
    <w:pPr>
      <w:spacing w:before="60" w:after="60" w:line="240" w:lineRule="auto"/>
    </w:pPr>
    <w:rPr>
      <w:rFonts w:ascii="Century Gothic" w:hAnsi="Century Gothic"/>
    </w:rPr>
    <w:tblPr/>
  </w:style>
  <w:style w:type="paragraph" w:styleId="Paragraphedeliste">
    <w:name w:val="List Paragraph"/>
    <w:basedOn w:val="Normal"/>
    <w:uiPriority w:val="34"/>
    <w:rsid w:val="002629A5"/>
    <w:pPr>
      <w:ind w:left="720"/>
      <w:contextualSpacing/>
    </w:pPr>
  </w:style>
  <w:style w:type="paragraph" w:styleId="Notedefin">
    <w:name w:val="endnote text"/>
    <w:basedOn w:val="Normal"/>
    <w:link w:val="NotedefinCar"/>
    <w:uiPriority w:val="99"/>
    <w:unhideWhenUsed/>
    <w:rsid w:val="00B65BA1"/>
    <w:rPr>
      <w:sz w:val="18"/>
      <w:szCs w:val="20"/>
    </w:rPr>
  </w:style>
  <w:style w:type="character" w:customStyle="1" w:styleId="NotedefinCar">
    <w:name w:val="Note de fin Car"/>
    <w:basedOn w:val="Policepardfaut"/>
    <w:link w:val="Notedefin"/>
    <w:uiPriority w:val="99"/>
    <w:rsid w:val="00B65BA1"/>
    <w:rPr>
      <w:sz w:val="18"/>
      <w:szCs w:val="20"/>
    </w:rPr>
  </w:style>
  <w:style w:type="paragraph" w:styleId="Corpsdetexte2">
    <w:name w:val="Body Text 2"/>
    <w:basedOn w:val="Normal"/>
    <w:link w:val="Corpsdetexte2Car"/>
    <w:uiPriority w:val="99"/>
    <w:unhideWhenUsed/>
    <w:rsid w:val="00682B84"/>
    <w:pPr>
      <w:spacing w:after="120" w:line="480" w:lineRule="auto"/>
    </w:pPr>
  </w:style>
  <w:style w:type="character" w:customStyle="1" w:styleId="Corpsdetexte2Car">
    <w:name w:val="Corps de texte 2 Car"/>
    <w:basedOn w:val="Policepardfaut"/>
    <w:link w:val="Corpsdetexte2"/>
    <w:uiPriority w:val="99"/>
    <w:rsid w:val="00682B84"/>
    <w:rPr>
      <w:sz w:val="21"/>
    </w:rPr>
  </w:style>
  <w:style w:type="paragraph" w:styleId="Sous-titre">
    <w:name w:val="Subtitle"/>
    <w:basedOn w:val="Normal"/>
    <w:next w:val="Normal"/>
    <w:link w:val="Sous-titreCar"/>
    <w:uiPriority w:val="11"/>
    <w:rsid w:val="00C53C1A"/>
    <w:pPr>
      <w:numPr>
        <w:ilvl w:val="1"/>
      </w:numPr>
      <w:spacing w:after="160"/>
    </w:pPr>
    <w:rPr>
      <w:rFonts w:eastAsiaTheme="minorEastAsia"/>
      <w:color w:val="FFFFFF" w:themeColor="background1"/>
      <w:sz w:val="36"/>
    </w:rPr>
  </w:style>
  <w:style w:type="character" w:customStyle="1" w:styleId="Sous-titreCar">
    <w:name w:val="Sous-titre Car"/>
    <w:basedOn w:val="Policepardfaut"/>
    <w:link w:val="Sous-titre"/>
    <w:uiPriority w:val="11"/>
    <w:rsid w:val="00C53C1A"/>
    <w:rPr>
      <w:rFonts w:eastAsiaTheme="minorEastAsia"/>
      <w:color w:val="FFFFFF" w:themeColor="background1"/>
      <w:sz w:val="36"/>
    </w:rPr>
  </w:style>
  <w:style w:type="paragraph" w:styleId="Notedebasdepage">
    <w:name w:val="footnote text"/>
    <w:basedOn w:val="Normal"/>
    <w:link w:val="NotedebasdepageCar"/>
    <w:uiPriority w:val="99"/>
    <w:semiHidden/>
    <w:unhideWhenUsed/>
    <w:rsid w:val="009835E0"/>
    <w:pPr>
      <w:spacing w:line="240" w:lineRule="auto"/>
    </w:pPr>
    <w:rPr>
      <w:color w:val="323232" w:themeColor="text1"/>
      <w:sz w:val="18"/>
      <w:szCs w:val="20"/>
    </w:rPr>
  </w:style>
  <w:style w:type="character" w:customStyle="1" w:styleId="NotedebasdepageCar">
    <w:name w:val="Note de bas de page Car"/>
    <w:basedOn w:val="Policepardfaut"/>
    <w:link w:val="Notedebasdepage"/>
    <w:uiPriority w:val="99"/>
    <w:semiHidden/>
    <w:rsid w:val="009835E0"/>
    <w:rPr>
      <w:color w:val="323232" w:themeColor="text1"/>
      <w:sz w:val="18"/>
      <w:szCs w:val="20"/>
    </w:rPr>
  </w:style>
  <w:style w:type="table" w:customStyle="1" w:styleId="Tableaudeconclusion">
    <w:name w:val="Tableau de conclusion"/>
    <w:basedOn w:val="TableauNormal"/>
    <w:uiPriority w:val="99"/>
    <w:rsid w:val="000A75C7"/>
    <w:pPr>
      <w:spacing w:before="100" w:beforeAutospacing="1" w:after="100" w:afterAutospacing="1" w:line="240" w:lineRule="auto"/>
    </w:pPr>
    <w:rPr>
      <w:color w:val="323232" w:themeColor="text1"/>
    </w:rPr>
    <w:tblPr>
      <w:tbl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blBorders>
      <w:tblCellMar>
        <w:top w:w="85" w:type="dxa"/>
        <w:left w:w="85" w:type="dxa"/>
        <w:bottom w:w="85" w:type="dxa"/>
        <w:right w:w="85" w:type="dxa"/>
      </w:tblCellMar>
    </w:tblPr>
    <w:tcPr>
      <w:shd w:val="clear" w:color="auto" w:fill="F2F2F2" w:themeFill="background1" w:themeFillShade="F2"/>
    </w:tcPr>
  </w:style>
  <w:style w:type="table" w:customStyle="1" w:styleId="TableauBleu">
    <w:name w:val="Tableau Bleu"/>
    <w:basedOn w:val="TableauNormal"/>
    <w:uiPriority w:val="99"/>
    <w:rsid w:val="000A75C7"/>
    <w:pPr>
      <w:spacing w:before="100" w:beforeAutospacing="1" w:after="100" w:afterAutospacing="1" w:line="240" w:lineRule="auto"/>
      <w:jc w:val="center"/>
    </w:pPr>
    <w:rPr>
      <w:rFonts w:ascii="Century Gothic" w:hAnsi="Century Gothic"/>
    </w:rPr>
    <w:tblPr>
      <w:tblBorders>
        <w:top w:val="single" w:sz="8" w:space="0" w:color="EBEBEB" w:themeColor="background2"/>
        <w:left w:val="single" w:sz="8" w:space="0" w:color="EBEBEB" w:themeColor="background2"/>
        <w:bottom w:val="single" w:sz="8" w:space="0" w:color="EBEBEB" w:themeColor="background2"/>
        <w:right w:val="single" w:sz="8" w:space="0" w:color="EBEBEB" w:themeColor="background2"/>
        <w:insideH w:val="single" w:sz="8" w:space="0" w:color="EBEBEB" w:themeColor="background2"/>
        <w:insideV w:val="single" w:sz="8" w:space="0" w:color="EBEBEB" w:themeColor="background2"/>
      </w:tblBorders>
      <w:tblCellMar>
        <w:top w:w="85" w:type="dxa"/>
        <w:left w:w="85" w:type="dxa"/>
        <w:bottom w:w="85" w:type="dxa"/>
        <w:right w:w="85" w:type="dxa"/>
      </w:tblCellMar>
    </w:tblPr>
    <w:tcPr>
      <w:vAlign w:val="center"/>
    </w:tcPr>
    <w:tblStylePr w:type="firstRow">
      <w:pPr>
        <w:jc w:val="center"/>
      </w:pPr>
      <w:rPr>
        <w:b/>
        <w:color w:val="FFFFFF" w:themeColor="background1"/>
      </w:rPr>
      <w:tblPr/>
      <w:tcPr>
        <w:shd w:val="clear" w:color="auto" w:fill="005293" w:themeFill="accent1"/>
        <w:vAlign w:val="center"/>
      </w:tcPr>
    </w:tblStylePr>
    <w:tblStylePr w:type="lastRow">
      <w:rPr>
        <w:b/>
        <w:color w:val="FFFFFF" w:themeColor="background1"/>
      </w:rPr>
      <w:tblPr/>
      <w:tcPr>
        <w:shd w:val="clear" w:color="auto" w:fill="323232" w:themeFill="text1"/>
      </w:tcPr>
    </w:tblStylePr>
    <w:tblStylePr w:type="firstCol">
      <w:pPr>
        <w:jc w:val="left"/>
      </w:pPr>
      <w:rPr>
        <w:b/>
        <w:color w:val="FFFFFF" w:themeColor="background1"/>
      </w:rPr>
      <w:tblPr/>
      <w:tcPr>
        <w:shd w:val="clear" w:color="auto" w:fill="1598D9" w:themeFill="accent2"/>
      </w:tcPr>
    </w:tblStylePr>
    <w:tblStylePr w:type="lastCol">
      <w:rPr>
        <w:b/>
        <w:color w:val="FFFFFF" w:themeColor="background1"/>
      </w:rPr>
      <w:tblPr/>
      <w:tcPr>
        <w:shd w:val="clear" w:color="auto" w:fill="646464" w:themeFill="text2"/>
      </w:tcPr>
    </w:tblStylePr>
  </w:style>
  <w:style w:type="table" w:customStyle="1" w:styleId="TableauVert">
    <w:name w:val="Tableau Vert"/>
    <w:basedOn w:val="TableauBleu"/>
    <w:uiPriority w:val="99"/>
    <w:rsid w:val="00AF4F53"/>
    <w:tblPr/>
    <w:tblStylePr w:type="firstRow">
      <w:pPr>
        <w:jc w:val="center"/>
      </w:pPr>
      <w:rPr>
        <w:b/>
        <w:color w:val="FFFFFF" w:themeColor="background1"/>
      </w:rPr>
      <w:tblPr/>
      <w:tcPr>
        <w:shd w:val="clear" w:color="auto" w:fill="1FB531" w:themeFill="accent4"/>
        <w:vAlign w:val="center"/>
      </w:tcPr>
    </w:tblStylePr>
    <w:tblStylePr w:type="lastRow">
      <w:rPr>
        <w:b/>
        <w:color w:val="FFFFFF" w:themeColor="background1"/>
      </w:rPr>
      <w:tblPr/>
      <w:tcPr>
        <w:shd w:val="clear" w:color="auto" w:fill="323232" w:themeFill="text1"/>
      </w:tcPr>
    </w:tblStylePr>
    <w:tblStylePr w:type="firstCol">
      <w:pPr>
        <w:jc w:val="left"/>
      </w:pPr>
      <w:rPr>
        <w:b/>
        <w:color w:val="FFFFFF" w:themeColor="background1"/>
      </w:rPr>
      <w:tblPr/>
      <w:tcPr>
        <w:shd w:val="clear" w:color="auto" w:fill="92D400" w:themeFill="accent3"/>
      </w:tcPr>
    </w:tblStylePr>
    <w:tblStylePr w:type="lastCol">
      <w:rPr>
        <w:b/>
        <w:color w:val="FFFFFF" w:themeColor="background1"/>
      </w:rPr>
      <w:tblPr/>
      <w:tcPr>
        <w:shd w:val="clear" w:color="auto" w:fill="646464" w:themeFill="text2"/>
      </w:tcPr>
    </w:tblStylePr>
  </w:style>
  <w:style w:type="table" w:customStyle="1" w:styleId="TableauOrange">
    <w:name w:val="Tableau Orange"/>
    <w:basedOn w:val="TableauBleu"/>
    <w:uiPriority w:val="99"/>
    <w:rsid w:val="00AF4F53"/>
    <w:tblPr/>
    <w:tblStylePr w:type="firstRow">
      <w:pPr>
        <w:jc w:val="center"/>
      </w:pPr>
      <w:rPr>
        <w:b/>
        <w:color w:val="FFFFFF" w:themeColor="background1"/>
      </w:rPr>
      <w:tblPr/>
      <w:tcPr>
        <w:shd w:val="clear" w:color="auto" w:fill="D12323" w:themeFill="accent6"/>
        <w:vAlign w:val="center"/>
      </w:tcPr>
    </w:tblStylePr>
    <w:tblStylePr w:type="lastRow">
      <w:rPr>
        <w:b/>
        <w:color w:val="FFFFFF" w:themeColor="background1"/>
      </w:rPr>
      <w:tblPr/>
      <w:tcPr>
        <w:shd w:val="clear" w:color="auto" w:fill="323232" w:themeFill="text1"/>
      </w:tcPr>
    </w:tblStylePr>
    <w:tblStylePr w:type="firstCol">
      <w:pPr>
        <w:jc w:val="left"/>
      </w:pPr>
      <w:rPr>
        <w:b/>
        <w:color w:val="FFFFFF" w:themeColor="background1"/>
      </w:rPr>
      <w:tblPr/>
      <w:tcPr>
        <w:shd w:val="clear" w:color="auto" w:fill="FA9500" w:themeFill="accent5"/>
      </w:tcPr>
    </w:tblStylePr>
    <w:tblStylePr w:type="lastCol">
      <w:rPr>
        <w:b/>
        <w:color w:val="FFFFFF" w:themeColor="background1"/>
      </w:rPr>
      <w:tblPr/>
      <w:tcPr>
        <w:shd w:val="clear" w:color="auto" w:fill="646464" w:themeFill="text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0037404">
      <w:bodyDiv w:val="1"/>
      <w:marLeft w:val="0"/>
      <w:marRight w:val="0"/>
      <w:marTop w:val="0"/>
      <w:marBottom w:val="0"/>
      <w:divBdr>
        <w:top w:val="none" w:sz="0" w:space="0" w:color="auto"/>
        <w:left w:val="none" w:sz="0" w:space="0" w:color="auto"/>
        <w:bottom w:val="none" w:sz="0" w:space="0" w:color="auto"/>
        <w:right w:val="none" w:sz="0" w:space="0" w:color="auto"/>
      </w:divBdr>
    </w:div>
    <w:div w:id="2067214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1.xml"/><Relationship Id="rId18" Type="http://schemas.openxmlformats.org/officeDocument/2006/relationships/chart" Target="charts/chart6.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chart" Target="charts/chart9.xml"/><Relationship Id="rId7" Type="http://schemas.openxmlformats.org/officeDocument/2006/relationships/settings" Target="settings.xml"/><Relationship Id="rId12" Type="http://schemas.openxmlformats.org/officeDocument/2006/relationships/image" Target="media/image5.png"/><Relationship Id="rId17" Type="http://schemas.openxmlformats.org/officeDocument/2006/relationships/chart" Target="charts/chart5.xm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chart" Target="charts/chart4.xml"/><Relationship Id="rId20" Type="http://schemas.openxmlformats.org/officeDocument/2006/relationships/chart" Target="charts/chart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4.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chart" Target="charts/chart3.xm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chart" Target="charts/chart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2.xml"/><Relationship Id="rId22" Type="http://schemas.openxmlformats.org/officeDocument/2006/relationships/chart" Target="charts/chart10.xml"/><Relationship Id="rId27"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10.xml"/><Relationship Id="rId1" Type="http://schemas.microsoft.com/office/2011/relationships/chartStyle" Target="style10.xml"/></Relationships>
</file>

<file path=word/charts/_rels/chart2.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strRef>
          <c:f>Synthèse!$E$20</c:f>
          <c:strCache>
            <c:ptCount val="1"/>
            <c:pt idx="0">
              <c:v>Salariés 2020
Vosges</c:v>
            </c:pt>
          </c:strCache>
        </c:strRef>
      </c:tx>
      <c:overlay val="0"/>
      <c:spPr>
        <a:noFill/>
        <a:ln>
          <a:noFill/>
        </a:ln>
        <a:effectLst/>
      </c:spPr>
      <c:txPr>
        <a:bodyPr rot="0" spcFirstLastPara="1" vertOverflow="ellipsis" vert="horz" wrap="square" anchor="ctr" anchorCtr="1"/>
        <a:lstStyle/>
        <a:p>
          <a:pPr>
            <a:defRPr sz="1000" b="1"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doughnutChart>
        <c:varyColors val="1"/>
        <c:ser>
          <c:idx val="0"/>
          <c:order val="0"/>
          <c:tx>
            <c:strRef>
              <c:f>Synthèse!$M$14</c:f>
              <c:strCache>
                <c:ptCount val="1"/>
                <c:pt idx="0">
                  <c:v>Vosges</c:v>
                </c:pt>
              </c:strCache>
            </c:strRef>
          </c:tx>
          <c:dPt>
            <c:idx val="0"/>
            <c:bubble3D val="0"/>
            <c:spPr>
              <a:solidFill>
                <a:schemeClr val="accent6"/>
              </a:solidFill>
              <a:ln w="19050">
                <a:solidFill>
                  <a:schemeClr val="lt1"/>
                </a:solidFill>
              </a:ln>
              <a:effectLst/>
            </c:spPr>
            <c:extLst>
              <c:ext xmlns:c16="http://schemas.microsoft.com/office/drawing/2014/chart" uri="{C3380CC4-5D6E-409C-BE32-E72D297353CC}">
                <c16:uniqueId val="{00000001-9770-460C-86AD-E46C0F9CF05A}"/>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9770-460C-86AD-E46C0F9CF05A}"/>
              </c:ext>
            </c:extLst>
          </c:dPt>
          <c:dPt>
            <c:idx val="2"/>
            <c:bubble3D val="0"/>
            <c:spPr>
              <a:solidFill>
                <a:srgbClr val="FFC000"/>
              </a:solidFill>
              <a:ln w="19050">
                <a:solidFill>
                  <a:schemeClr val="lt1"/>
                </a:solidFill>
              </a:ln>
              <a:effectLst/>
            </c:spPr>
            <c:extLst>
              <c:ext xmlns:c16="http://schemas.microsoft.com/office/drawing/2014/chart" uri="{C3380CC4-5D6E-409C-BE32-E72D297353CC}">
                <c16:uniqueId val="{00000005-9770-460C-86AD-E46C0F9CF05A}"/>
              </c:ext>
            </c:extLst>
          </c:dPt>
          <c:dPt>
            <c:idx val="3"/>
            <c:bubble3D val="0"/>
            <c:spPr>
              <a:solidFill>
                <a:srgbClr val="00B050"/>
              </a:solidFill>
              <a:ln w="19050">
                <a:solidFill>
                  <a:schemeClr val="lt1"/>
                </a:solidFill>
              </a:ln>
              <a:effectLst/>
            </c:spPr>
            <c:extLst>
              <c:ext xmlns:c16="http://schemas.microsoft.com/office/drawing/2014/chart" uri="{C3380CC4-5D6E-409C-BE32-E72D297353CC}">
                <c16:uniqueId val="{00000007-9770-460C-86AD-E46C0F9CF05A}"/>
              </c:ext>
            </c:extLst>
          </c:dPt>
          <c:dLbls>
            <c:dLbl>
              <c:idx val="1"/>
              <c:layout>
                <c:manualLayout>
                  <c:x val="3.0748956731825091E-2"/>
                  <c:y val="-6.4712748138188454E-17"/>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3-9770-460C-86AD-E46C0F9CF05A}"/>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2"/>
                      </a:solidFill>
                      <a:latin typeface="+mn-lt"/>
                      <a:ea typeface="+mn-ea"/>
                      <a:cs typeface="+mn-cs"/>
                    </a:defRPr>
                  </a:pPr>
                  <a:endParaRPr lang="fr-FR"/>
                </a:p>
              </c:txPr>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9770-460C-86AD-E46C0F9CF05A}"/>
                </c:ext>
              </c:extLst>
            </c:dLbl>
            <c:dLbl>
              <c:idx val="3"/>
              <c:layout>
                <c:manualLayout>
                  <c:x val="-0.14933787088049857"/>
                  <c:y val="-0.11646567930670826"/>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4"/>
                      </a:solidFill>
                      <a:latin typeface="+mn-lt"/>
                      <a:ea typeface="+mn-ea"/>
                      <a:cs typeface="+mn-cs"/>
                    </a:defRPr>
                  </a:pPr>
                  <a:endParaRPr lang="fr-FR"/>
                </a:p>
              </c:txPr>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7-9770-460C-86AD-E46C0F9CF05A}"/>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fr-FR"/>
              </a:p>
            </c:txPr>
            <c:showLegendKey val="0"/>
            <c:showVal val="1"/>
            <c:showCatName val="0"/>
            <c:showSerName val="0"/>
            <c:showPercent val="1"/>
            <c:showBubbleSize val="0"/>
            <c:separator>
</c:separator>
            <c:showLeaderLines val="0"/>
            <c:extLst>
              <c:ext xmlns:c15="http://schemas.microsoft.com/office/drawing/2012/chart" uri="{CE6537A1-D6FC-4f65-9D91-7224C49458BB}"/>
            </c:extLst>
          </c:dLbls>
          <c:cat>
            <c:strRef>
              <c:f>Synthèse!$E$15:$E$18</c:f>
              <c:strCache>
                <c:ptCount val="4"/>
                <c:pt idx="0">
                  <c:v>Industrie</c:v>
                </c:pt>
                <c:pt idx="1">
                  <c:v>BTP</c:v>
                </c:pt>
                <c:pt idx="2">
                  <c:v>Tertiaire</c:v>
                </c:pt>
                <c:pt idx="3">
                  <c:v>Agriculture</c:v>
                </c:pt>
              </c:strCache>
            </c:strRef>
          </c:cat>
          <c:val>
            <c:numRef>
              <c:f>Synthèse!$M$15:$M$18</c:f>
              <c:numCache>
                <c:formatCode>#,##0</c:formatCode>
                <c:ptCount val="4"/>
                <c:pt idx="0">
                  <c:v>24457</c:v>
                </c:pt>
                <c:pt idx="1">
                  <c:v>7385</c:v>
                </c:pt>
                <c:pt idx="2">
                  <c:v>85947</c:v>
                </c:pt>
                <c:pt idx="3">
                  <c:v>1573</c:v>
                </c:pt>
              </c:numCache>
            </c:numRef>
          </c:val>
          <c:extLst>
            <c:ext xmlns:c16="http://schemas.microsoft.com/office/drawing/2014/chart" uri="{C3380CC4-5D6E-409C-BE32-E72D297353CC}">
              <c16:uniqueId val="{00000008-9770-460C-86AD-E46C0F9CF05A}"/>
            </c:ext>
          </c:extLst>
        </c:ser>
        <c:dLbls>
          <c:showLegendKey val="0"/>
          <c:showVal val="1"/>
          <c:showCatName val="0"/>
          <c:showSerName val="0"/>
          <c:showPercent val="0"/>
          <c:showBubbleSize val="0"/>
          <c:showLeaderLines val="0"/>
        </c:dLbls>
        <c:firstSliceAng val="0"/>
        <c:holeSize val="40"/>
        <c:extLst>
          <c:ext xmlns:c15="http://schemas.microsoft.com/office/drawing/2012/chart" uri="{02D57815-91ED-43cb-92C2-25804820EDAC}">
            <c15:filteredPieSeries>
              <c15:ser>
                <c:idx val="1"/>
                <c:order val="1"/>
                <c:tx>
                  <c:strRef>
                    <c:extLst>
                      <c:ext uri="{02D57815-91ED-43cb-92C2-25804820EDAC}">
                        <c15:formulaRef>
                          <c15:sqref>Synthèse!$N$14</c15:sqref>
                        </c15:formulaRef>
                      </c:ext>
                    </c:extLst>
                    <c:strCache>
                      <c:ptCount val="1"/>
                      <c:pt idx="0">
                        <c:v>Grand Est</c:v>
                      </c:pt>
                    </c:strCache>
                  </c:strRef>
                </c:tx>
                <c:spPr>
                  <a:pattFill prst="dkUpDiag">
                    <a:fgClr>
                      <a:schemeClr val="bg1">
                        <a:lumMod val="95000"/>
                      </a:schemeClr>
                    </a:fgClr>
                    <a:bgClr>
                      <a:schemeClr val="bg1"/>
                    </a:bgClr>
                  </a:pattFill>
                </c:spPr>
                <c:dPt>
                  <c:idx val="0"/>
                  <c:bubble3D val="0"/>
                  <c:spPr>
                    <a:pattFill prst="dkUpDiag">
                      <a:fgClr>
                        <a:schemeClr val="accent6"/>
                      </a:fgClr>
                      <a:bgClr>
                        <a:schemeClr val="bg1"/>
                      </a:bgClr>
                    </a:pattFill>
                    <a:ln w="19050">
                      <a:solidFill>
                        <a:schemeClr val="lt1"/>
                      </a:solidFill>
                    </a:ln>
                    <a:effectLst/>
                  </c:spPr>
                  <c:extLst>
                    <c:ext xmlns:c16="http://schemas.microsoft.com/office/drawing/2014/chart" uri="{C3380CC4-5D6E-409C-BE32-E72D297353CC}">
                      <c16:uniqueId val="{0000000A-9770-460C-86AD-E46C0F9CF05A}"/>
                    </c:ext>
                  </c:extLst>
                </c:dPt>
                <c:dPt>
                  <c:idx val="1"/>
                  <c:bubble3D val="0"/>
                  <c:spPr>
                    <a:pattFill prst="dkUpDiag">
                      <a:fgClr>
                        <a:schemeClr val="accent2"/>
                      </a:fgClr>
                      <a:bgClr>
                        <a:schemeClr val="bg1"/>
                      </a:bgClr>
                    </a:pattFill>
                    <a:ln w="19050">
                      <a:solidFill>
                        <a:schemeClr val="lt1"/>
                      </a:solidFill>
                    </a:ln>
                    <a:effectLst/>
                  </c:spPr>
                  <c:extLst>
                    <c:ext xmlns:c16="http://schemas.microsoft.com/office/drawing/2014/chart" uri="{C3380CC4-5D6E-409C-BE32-E72D297353CC}">
                      <c16:uniqueId val="{0000000C-9770-460C-86AD-E46C0F9CF05A}"/>
                    </c:ext>
                  </c:extLst>
                </c:dPt>
                <c:dPt>
                  <c:idx val="2"/>
                  <c:bubble3D val="0"/>
                  <c:spPr>
                    <a:pattFill prst="dkUpDiag">
                      <a:fgClr>
                        <a:srgbClr val="FFC000"/>
                      </a:fgClr>
                      <a:bgClr>
                        <a:schemeClr val="bg1"/>
                      </a:bgClr>
                    </a:pattFill>
                    <a:ln w="19050">
                      <a:solidFill>
                        <a:schemeClr val="lt1"/>
                      </a:solidFill>
                    </a:ln>
                    <a:effectLst/>
                  </c:spPr>
                  <c:extLst>
                    <c:ext xmlns:c16="http://schemas.microsoft.com/office/drawing/2014/chart" uri="{C3380CC4-5D6E-409C-BE32-E72D297353CC}">
                      <c16:uniqueId val="{0000000E-9770-460C-86AD-E46C0F9CF05A}"/>
                    </c:ext>
                  </c:extLst>
                </c:dPt>
                <c:dPt>
                  <c:idx val="3"/>
                  <c:bubble3D val="0"/>
                  <c:spPr>
                    <a:pattFill prst="dkUpDiag">
                      <a:fgClr>
                        <a:srgbClr val="FFC000"/>
                      </a:fgClr>
                      <a:bgClr>
                        <a:schemeClr val="bg1"/>
                      </a:bgClr>
                    </a:pattFill>
                    <a:ln w="19050">
                      <a:solidFill>
                        <a:schemeClr val="lt1"/>
                      </a:solidFill>
                    </a:ln>
                    <a:effectLst/>
                  </c:spPr>
                  <c:extLst>
                    <c:ext xmlns:c16="http://schemas.microsoft.com/office/drawing/2014/chart" uri="{C3380CC4-5D6E-409C-BE32-E72D297353CC}">
                      <c16:uniqueId val="{00000010-9770-460C-86AD-E46C0F9CF05A}"/>
                    </c:ext>
                  </c:extLst>
                </c:dPt>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fr-FR"/>
                    </a:p>
                  </c:txPr>
                  <c:showLegendKey val="0"/>
                  <c:showVal val="1"/>
                  <c:showCatName val="0"/>
                  <c:showSerName val="0"/>
                  <c:showPercent val="1"/>
                  <c:showBubbleSize val="0"/>
                  <c:separator>
</c:separator>
                  <c:showLeaderLines val="0"/>
                  <c:extLst>
                    <c:ext uri="{CE6537A1-D6FC-4f65-9D91-7224C49458BB}"/>
                  </c:extLst>
                </c:dLbls>
                <c:cat>
                  <c:strRef>
                    <c:extLst>
                      <c:ext uri="{02D57815-91ED-43cb-92C2-25804820EDAC}">
                        <c15:formulaRef>
                          <c15:sqref>Synthèse!$E$15:$E$18</c15:sqref>
                        </c15:formulaRef>
                      </c:ext>
                    </c:extLst>
                    <c:strCache>
                      <c:ptCount val="4"/>
                      <c:pt idx="0">
                        <c:v>Industrie</c:v>
                      </c:pt>
                      <c:pt idx="1">
                        <c:v>BTP</c:v>
                      </c:pt>
                      <c:pt idx="2">
                        <c:v>Tertiaire</c:v>
                      </c:pt>
                      <c:pt idx="3">
                        <c:v>Agriculture</c:v>
                      </c:pt>
                    </c:strCache>
                  </c:strRef>
                </c:cat>
                <c:val>
                  <c:numRef>
                    <c:extLst>
                      <c:ext uri="{02D57815-91ED-43cb-92C2-25804820EDAC}">
                        <c15:formulaRef>
                          <c15:sqref>Synthèse!$N$15:$N$18</c15:sqref>
                        </c15:formulaRef>
                      </c:ext>
                    </c:extLst>
                    <c:numCache>
                      <c:formatCode>#,##0</c:formatCode>
                      <c:ptCount val="4"/>
                      <c:pt idx="0">
                        <c:v>305663</c:v>
                      </c:pt>
                      <c:pt idx="1">
                        <c:v>113236</c:v>
                      </c:pt>
                      <c:pt idx="2">
                        <c:v>1483080</c:v>
                      </c:pt>
                      <c:pt idx="3">
                        <c:v>24613</c:v>
                      </c:pt>
                    </c:numCache>
                  </c:numRef>
                </c:val>
                <c:extLst>
                  <c:ext xmlns:c16="http://schemas.microsoft.com/office/drawing/2014/chart" uri="{C3380CC4-5D6E-409C-BE32-E72D297353CC}">
                    <c16:uniqueId val="{00000011-9770-460C-86AD-E46C0F9CF05A}"/>
                  </c:ext>
                </c:extLst>
              </c15:ser>
            </c15:filteredPieSeries>
          </c:ext>
        </c:extLst>
      </c:doughnutChart>
      <c:spPr>
        <a:noFill/>
        <a:ln>
          <a:noFill/>
        </a:ln>
        <a:effectLst/>
      </c:spPr>
    </c:plotArea>
    <c:legend>
      <c:legendPos val="b"/>
      <c:overlay val="0"/>
      <c:spPr>
        <a:noFill/>
        <a:ln>
          <a:noFill/>
        </a:ln>
        <a:effectLst/>
      </c:spPr>
      <c:txPr>
        <a:bodyPr rot="0" spcFirstLastPara="1" vertOverflow="ellipsis" vert="horz" wrap="square" anchor="ctr" anchorCtr="1"/>
        <a:lstStyle/>
        <a:p>
          <a:pPr rtl="0">
            <a:defRPr sz="1000" b="0" i="0" u="none" strike="noStrike" kern="1200" baseline="0">
              <a:solidFill>
                <a:schemeClr val="tx1">
                  <a:lumMod val="65000"/>
                  <a:lumOff val="35000"/>
                </a:schemeClr>
              </a:solidFill>
              <a:latin typeface="+mn-lt"/>
              <a:ea typeface="+mn-ea"/>
              <a:cs typeface="+mn-cs"/>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sz="1000"/>
      </a:pPr>
      <a:endParaRPr lang="fr-FR"/>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strRef>
          <c:f>Synthèse!$A$333</c:f>
          <c:strCache>
            <c:ptCount val="1"/>
            <c:pt idx="0">
              <c:v>Evolution de la valorisation des tonnages de DAEndni 2020 - Vosges</c:v>
            </c:pt>
          </c:strCache>
        </c:strRef>
      </c:tx>
      <c:overlay val="0"/>
      <c:spPr>
        <a:noFill/>
        <a:ln>
          <a:noFill/>
        </a:ln>
        <a:effectLst/>
      </c:spPr>
      <c:txPr>
        <a:bodyPr rot="0" spcFirstLastPara="1" vertOverflow="ellipsis" vert="horz" wrap="square" anchor="ctr" anchorCtr="1"/>
        <a:lstStyle/>
        <a:p>
          <a:pPr>
            <a:defRPr sz="1000" b="1"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barChart>
        <c:barDir val="col"/>
        <c:grouping val="percentStacked"/>
        <c:varyColors val="0"/>
        <c:ser>
          <c:idx val="0"/>
          <c:order val="0"/>
          <c:tx>
            <c:strRef>
              <c:f>Synthèse!$E$341</c:f>
              <c:strCache>
                <c:ptCount val="1"/>
                <c:pt idx="0">
                  <c:v>Matière</c:v>
                </c:pt>
              </c:strCache>
            </c:strRef>
          </c:tx>
          <c:spPr>
            <a:solidFill>
              <a:srgbClr val="FFC000"/>
            </a:solidFill>
            <a:ln>
              <a:noFill/>
            </a:ln>
            <a:effectLst/>
          </c:spPr>
          <c:invertIfNegative val="0"/>
          <c:dLbls>
            <c:spPr>
              <a:noFill/>
              <a:ln>
                <a:noFill/>
              </a:ln>
              <a:effectLst/>
            </c:spPr>
            <c:txPr>
              <a:bodyPr rot="0" spcFirstLastPara="1" vertOverflow="ellipsis" vert="horz" wrap="square" anchor="ctr" anchorCtr="1"/>
              <a:lstStyle/>
              <a:p>
                <a:pPr>
                  <a:defRPr sz="1000" b="1" i="0" u="none" strike="noStrike" kern="1200" baseline="0">
                    <a:solidFill>
                      <a:schemeClr val="tx1">
                        <a:lumMod val="75000"/>
                        <a:lumOff val="25000"/>
                      </a:schemeClr>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Synthèse!$F$335:$G$335</c:f>
              <c:numCache>
                <c:formatCode>General</c:formatCode>
                <c:ptCount val="2"/>
                <c:pt idx="0">
                  <c:v>2019</c:v>
                </c:pt>
                <c:pt idx="1">
                  <c:v>2020</c:v>
                </c:pt>
              </c:numCache>
              <c:extLst/>
            </c:numRef>
          </c:cat>
          <c:val>
            <c:numRef>
              <c:f>Synthèse!$F$341:$G$341</c:f>
              <c:numCache>
                <c:formatCode>0%</c:formatCode>
                <c:ptCount val="2"/>
                <c:pt idx="0">
                  <c:v>0.59869951965314872</c:v>
                </c:pt>
                <c:pt idx="1">
                  <c:v>0.58405657145364465</c:v>
                </c:pt>
              </c:numCache>
              <c:extLst/>
            </c:numRef>
          </c:val>
          <c:extLst>
            <c:ext xmlns:c16="http://schemas.microsoft.com/office/drawing/2014/chart" uri="{C3380CC4-5D6E-409C-BE32-E72D297353CC}">
              <c16:uniqueId val="{00000000-3FEE-4118-B678-BEF3A35616C4}"/>
            </c:ext>
          </c:extLst>
        </c:ser>
        <c:ser>
          <c:idx val="1"/>
          <c:order val="1"/>
          <c:tx>
            <c:strRef>
              <c:f>Synthèse!$E$342</c:f>
              <c:strCache>
                <c:ptCount val="1"/>
                <c:pt idx="0">
                  <c:v>Organique</c:v>
                </c:pt>
              </c:strCache>
            </c:strRef>
          </c:tx>
          <c:spPr>
            <a:solidFill>
              <a:schemeClr val="accent4"/>
            </a:solidFill>
            <a:ln>
              <a:noFill/>
            </a:ln>
            <a:effectLst/>
          </c:spPr>
          <c:invertIfNegative val="0"/>
          <c:dLbls>
            <c:spPr>
              <a:noFill/>
              <a:ln>
                <a:noFill/>
              </a:ln>
              <a:effectLst/>
            </c:spPr>
            <c:txPr>
              <a:bodyPr rot="0" spcFirstLastPara="1" vertOverflow="ellipsis" vert="horz" wrap="square" anchor="ctr" anchorCtr="1"/>
              <a:lstStyle/>
              <a:p>
                <a:pPr>
                  <a:defRPr sz="1000" b="1" i="0" u="none" strike="noStrike" kern="1200" baseline="0">
                    <a:solidFill>
                      <a:schemeClr val="bg1"/>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Synthèse!$F$335:$G$335</c:f>
              <c:numCache>
                <c:formatCode>General</c:formatCode>
                <c:ptCount val="2"/>
                <c:pt idx="0">
                  <c:v>2019</c:v>
                </c:pt>
                <c:pt idx="1">
                  <c:v>2020</c:v>
                </c:pt>
              </c:numCache>
              <c:extLst/>
            </c:numRef>
          </c:cat>
          <c:val>
            <c:numRef>
              <c:f>Synthèse!$F$342:$G$342</c:f>
              <c:numCache>
                <c:formatCode>0%</c:formatCode>
                <c:ptCount val="2"/>
                <c:pt idx="0">
                  <c:v>9.9416165091820247E-2</c:v>
                </c:pt>
                <c:pt idx="1">
                  <c:v>0.12724102498415391</c:v>
                </c:pt>
              </c:numCache>
              <c:extLst/>
            </c:numRef>
          </c:val>
          <c:extLst>
            <c:ext xmlns:c16="http://schemas.microsoft.com/office/drawing/2014/chart" uri="{C3380CC4-5D6E-409C-BE32-E72D297353CC}">
              <c16:uniqueId val="{00000001-3FEE-4118-B678-BEF3A35616C4}"/>
            </c:ext>
          </c:extLst>
        </c:ser>
        <c:ser>
          <c:idx val="2"/>
          <c:order val="2"/>
          <c:tx>
            <c:strRef>
              <c:f>Synthèse!$E$343</c:f>
              <c:strCache>
                <c:ptCount val="1"/>
                <c:pt idx="0">
                  <c:v>Energétique</c:v>
                </c:pt>
              </c:strCache>
            </c:strRef>
          </c:tx>
          <c:spPr>
            <a:solidFill>
              <a:schemeClr val="accent6"/>
            </a:solidFill>
            <a:ln>
              <a:noFill/>
            </a:ln>
            <a:effectLst/>
          </c:spPr>
          <c:invertIfNegative val="0"/>
          <c:dLbls>
            <c:spPr>
              <a:noFill/>
              <a:ln>
                <a:noFill/>
              </a:ln>
              <a:effectLst/>
            </c:spPr>
            <c:txPr>
              <a:bodyPr rot="0" spcFirstLastPara="1" vertOverflow="ellipsis" vert="horz" wrap="square" anchor="ctr" anchorCtr="1"/>
              <a:lstStyle/>
              <a:p>
                <a:pPr>
                  <a:defRPr sz="1000" b="1" i="0" u="none" strike="noStrike" kern="1200" baseline="0">
                    <a:solidFill>
                      <a:schemeClr val="bg1"/>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Synthèse!$F$335:$G$335</c:f>
              <c:numCache>
                <c:formatCode>General</c:formatCode>
                <c:ptCount val="2"/>
                <c:pt idx="0">
                  <c:v>2019</c:v>
                </c:pt>
                <c:pt idx="1">
                  <c:v>2020</c:v>
                </c:pt>
              </c:numCache>
              <c:extLst/>
            </c:numRef>
          </c:cat>
          <c:val>
            <c:numRef>
              <c:f>Synthèse!$F$343:$G$343</c:f>
              <c:numCache>
                <c:formatCode>0%</c:formatCode>
                <c:ptCount val="2"/>
                <c:pt idx="0">
                  <c:v>0.1197514033527817</c:v>
                </c:pt>
                <c:pt idx="1">
                  <c:v>9.108937375617239E-2</c:v>
                </c:pt>
              </c:numCache>
              <c:extLst/>
            </c:numRef>
          </c:val>
          <c:extLst>
            <c:ext xmlns:c16="http://schemas.microsoft.com/office/drawing/2014/chart" uri="{C3380CC4-5D6E-409C-BE32-E72D297353CC}">
              <c16:uniqueId val="{00000002-3FEE-4118-B678-BEF3A35616C4}"/>
            </c:ext>
          </c:extLst>
        </c:ser>
        <c:ser>
          <c:idx val="3"/>
          <c:order val="3"/>
          <c:tx>
            <c:strRef>
              <c:f>Synthèse!$E$344</c:f>
              <c:strCache>
                <c:ptCount val="1"/>
                <c:pt idx="0">
                  <c:v>Autre/Elimination</c:v>
                </c:pt>
              </c:strCache>
            </c:strRef>
          </c:tx>
          <c:spPr>
            <a:solidFill>
              <a:schemeClr val="tx2"/>
            </a:solidFill>
            <a:ln>
              <a:noFill/>
            </a:ln>
            <a:effectLst/>
          </c:spPr>
          <c:invertIfNegative val="0"/>
          <c:dLbls>
            <c:spPr>
              <a:noFill/>
              <a:ln>
                <a:noFill/>
              </a:ln>
              <a:effectLst/>
            </c:spPr>
            <c:txPr>
              <a:bodyPr rot="0" spcFirstLastPara="1" vertOverflow="ellipsis" vert="horz" wrap="square" anchor="ctr" anchorCtr="1"/>
              <a:lstStyle/>
              <a:p>
                <a:pPr>
                  <a:defRPr sz="1000" b="1" i="0" u="none" strike="noStrike" kern="1200" baseline="0">
                    <a:solidFill>
                      <a:schemeClr val="bg1"/>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Synthèse!$F$335:$G$335</c:f>
              <c:numCache>
                <c:formatCode>General</c:formatCode>
                <c:ptCount val="2"/>
                <c:pt idx="0">
                  <c:v>2019</c:v>
                </c:pt>
                <c:pt idx="1">
                  <c:v>2020</c:v>
                </c:pt>
              </c:numCache>
              <c:extLst/>
            </c:numRef>
          </c:cat>
          <c:val>
            <c:numRef>
              <c:f>Synthèse!$F$344:$G$344</c:f>
              <c:numCache>
                <c:formatCode>0%</c:formatCode>
                <c:ptCount val="2"/>
                <c:pt idx="0">
                  <c:v>0.18213291190224934</c:v>
                </c:pt>
                <c:pt idx="1">
                  <c:v>0.19761302980602902</c:v>
                </c:pt>
              </c:numCache>
              <c:extLst/>
            </c:numRef>
          </c:val>
          <c:extLst>
            <c:ext xmlns:c16="http://schemas.microsoft.com/office/drawing/2014/chart" uri="{C3380CC4-5D6E-409C-BE32-E72D297353CC}">
              <c16:uniqueId val="{00000003-3FEE-4118-B678-BEF3A35616C4}"/>
            </c:ext>
          </c:extLst>
        </c:ser>
        <c:dLbls>
          <c:dLblPos val="ctr"/>
          <c:showLegendKey val="0"/>
          <c:showVal val="1"/>
          <c:showCatName val="0"/>
          <c:showSerName val="0"/>
          <c:showPercent val="0"/>
          <c:showBubbleSize val="0"/>
        </c:dLbls>
        <c:gapWidth val="150"/>
        <c:overlap val="100"/>
        <c:axId val="734827727"/>
        <c:axId val="734835631"/>
      </c:barChart>
      <c:catAx>
        <c:axId val="73482772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fr-FR"/>
          </a:p>
        </c:txPr>
        <c:crossAx val="734835631"/>
        <c:crosses val="autoZero"/>
        <c:auto val="1"/>
        <c:lblAlgn val="ctr"/>
        <c:lblOffset val="100"/>
        <c:noMultiLvlLbl val="0"/>
      </c:catAx>
      <c:valAx>
        <c:axId val="734835631"/>
        <c:scaling>
          <c:orientation val="minMax"/>
        </c:scaling>
        <c:delete val="1"/>
        <c:axPos val="l"/>
        <c:numFmt formatCode="0%" sourceLinked="1"/>
        <c:majorTickMark val="none"/>
        <c:minorTickMark val="none"/>
        <c:tickLblPos val="nextTo"/>
        <c:crossAx val="73482772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000"/>
      </a:pPr>
      <a:endParaRPr lang="fr-F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strRef>
          <c:f>Synthèse!$E$21</c:f>
          <c:strCache>
            <c:ptCount val="1"/>
            <c:pt idx="0">
              <c:v>Salariés 2020
Grand Est</c:v>
            </c:pt>
          </c:strCache>
        </c:strRef>
      </c:tx>
      <c:overlay val="0"/>
      <c:spPr>
        <a:noFill/>
        <a:ln>
          <a:noFill/>
        </a:ln>
        <a:effectLst/>
      </c:spPr>
      <c:txPr>
        <a:bodyPr rot="0" spcFirstLastPara="1" vertOverflow="ellipsis" vert="horz" wrap="square" anchor="ctr" anchorCtr="1"/>
        <a:lstStyle/>
        <a:p>
          <a:pPr>
            <a:defRPr sz="1000" b="1"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doughnutChart>
        <c:varyColors val="1"/>
        <c:ser>
          <c:idx val="1"/>
          <c:order val="1"/>
          <c:tx>
            <c:strRef>
              <c:f>Synthèse!$N$14</c:f>
              <c:strCache>
                <c:ptCount val="1"/>
                <c:pt idx="0">
                  <c:v>Grand Est</c:v>
                </c:pt>
              </c:strCache>
            </c:strRef>
          </c:tx>
          <c:spPr>
            <a:pattFill prst="dkUpDiag">
              <a:fgClr>
                <a:schemeClr val="bg1">
                  <a:lumMod val="95000"/>
                </a:schemeClr>
              </a:fgClr>
              <a:bgClr>
                <a:schemeClr val="bg1"/>
              </a:bgClr>
            </a:pattFill>
          </c:spPr>
          <c:dPt>
            <c:idx val="0"/>
            <c:bubble3D val="0"/>
            <c:spPr>
              <a:pattFill prst="dkUpDiag">
                <a:fgClr>
                  <a:schemeClr val="accent6"/>
                </a:fgClr>
                <a:bgClr>
                  <a:schemeClr val="bg1"/>
                </a:bgClr>
              </a:pattFill>
              <a:ln w="19050">
                <a:solidFill>
                  <a:schemeClr val="lt1"/>
                </a:solidFill>
              </a:ln>
              <a:effectLst/>
            </c:spPr>
            <c:extLst>
              <c:ext xmlns:c16="http://schemas.microsoft.com/office/drawing/2014/chart" uri="{C3380CC4-5D6E-409C-BE32-E72D297353CC}">
                <c16:uniqueId val="{00000001-1947-4254-8C43-7DA3E702D302}"/>
              </c:ext>
            </c:extLst>
          </c:dPt>
          <c:dPt>
            <c:idx val="1"/>
            <c:bubble3D val="0"/>
            <c:spPr>
              <a:pattFill prst="dkUpDiag">
                <a:fgClr>
                  <a:schemeClr val="accent2"/>
                </a:fgClr>
                <a:bgClr>
                  <a:schemeClr val="bg1"/>
                </a:bgClr>
              </a:pattFill>
              <a:ln w="19050">
                <a:solidFill>
                  <a:schemeClr val="lt1"/>
                </a:solidFill>
              </a:ln>
              <a:effectLst/>
            </c:spPr>
            <c:extLst>
              <c:ext xmlns:c16="http://schemas.microsoft.com/office/drawing/2014/chart" uri="{C3380CC4-5D6E-409C-BE32-E72D297353CC}">
                <c16:uniqueId val="{00000003-1947-4254-8C43-7DA3E702D302}"/>
              </c:ext>
            </c:extLst>
          </c:dPt>
          <c:dPt>
            <c:idx val="2"/>
            <c:bubble3D val="0"/>
            <c:spPr>
              <a:pattFill prst="dkUpDiag">
                <a:fgClr>
                  <a:srgbClr val="FFC000"/>
                </a:fgClr>
                <a:bgClr>
                  <a:schemeClr val="bg1"/>
                </a:bgClr>
              </a:pattFill>
              <a:ln w="19050">
                <a:solidFill>
                  <a:schemeClr val="lt1"/>
                </a:solidFill>
              </a:ln>
              <a:effectLst/>
            </c:spPr>
            <c:extLst>
              <c:ext xmlns:c16="http://schemas.microsoft.com/office/drawing/2014/chart" uri="{C3380CC4-5D6E-409C-BE32-E72D297353CC}">
                <c16:uniqueId val="{00000005-1947-4254-8C43-7DA3E702D302}"/>
              </c:ext>
            </c:extLst>
          </c:dPt>
          <c:dPt>
            <c:idx val="3"/>
            <c:bubble3D val="0"/>
            <c:spPr>
              <a:pattFill prst="dkUpDiag">
                <a:fgClr>
                  <a:srgbClr val="00B050"/>
                </a:fgClr>
                <a:bgClr>
                  <a:schemeClr val="bg1"/>
                </a:bgClr>
              </a:pattFill>
              <a:ln w="19050">
                <a:solidFill>
                  <a:schemeClr val="lt1"/>
                </a:solidFill>
              </a:ln>
              <a:effectLst/>
            </c:spPr>
            <c:extLst>
              <c:ext xmlns:c16="http://schemas.microsoft.com/office/drawing/2014/chart" uri="{C3380CC4-5D6E-409C-BE32-E72D297353CC}">
                <c16:uniqueId val="{00000007-1947-4254-8C43-7DA3E702D302}"/>
              </c:ext>
            </c:extLst>
          </c:dPt>
          <c:dLbls>
            <c:dLbl>
              <c:idx val="0"/>
              <c:spPr>
                <a:solidFill>
                  <a:schemeClr val="bg1"/>
                </a:solid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6"/>
                      </a:solidFill>
                      <a:latin typeface="+mn-lt"/>
                      <a:ea typeface="+mn-ea"/>
                      <a:cs typeface="+mn-cs"/>
                    </a:defRPr>
                  </a:pPr>
                  <a:endParaRPr lang="fr-FR"/>
                </a:p>
              </c:txPr>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1947-4254-8C43-7DA3E702D302}"/>
                </c:ext>
              </c:extLst>
            </c:dLbl>
            <c:dLbl>
              <c:idx val="1"/>
              <c:layout>
                <c:manualLayout>
                  <c:x val="0.15376242366804962"/>
                  <c:y val="-7.7656194846452517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2"/>
                      </a:solidFill>
                      <a:latin typeface="+mn-lt"/>
                      <a:ea typeface="+mn-ea"/>
                      <a:cs typeface="+mn-cs"/>
                    </a:defRPr>
                  </a:pPr>
                  <a:endParaRPr lang="fr-FR"/>
                </a:p>
              </c:txPr>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3-1947-4254-8C43-7DA3E702D302}"/>
                </c:ext>
              </c:extLst>
            </c:dLbl>
            <c:dLbl>
              <c:idx val="2"/>
              <c:spPr>
                <a:solidFill>
                  <a:schemeClr val="bg1"/>
                </a:solidFill>
                <a:ln>
                  <a:noFill/>
                </a:ln>
                <a:effectLst/>
              </c:spPr>
              <c:txPr>
                <a:bodyPr rot="0" spcFirstLastPara="1" vertOverflow="ellipsis" vert="horz" wrap="square" lIns="38100" tIns="19050" rIns="38100" bIns="19050" anchor="ctr" anchorCtr="1">
                  <a:noAutofit/>
                </a:bodyPr>
                <a:lstStyle/>
                <a:p>
                  <a:pPr>
                    <a:defRPr sz="1000" b="1" i="0" u="none" strike="noStrike" kern="1200" baseline="0">
                      <a:solidFill>
                        <a:schemeClr val="accent5">
                          <a:lumMod val="75000"/>
                        </a:schemeClr>
                      </a:solidFill>
                      <a:latin typeface="+mn-lt"/>
                      <a:ea typeface="+mn-ea"/>
                      <a:cs typeface="+mn-cs"/>
                    </a:defRPr>
                  </a:pPr>
                  <a:endParaRPr lang="fr-FR"/>
                </a:p>
              </c:txPr>
              <c:showLegendKey val="0"/>
              <c:showVal val="1"/>
              <c:showCatName val="0"/>
              <c:showSerName val="0"/>
              <c:showPercent val="1"/>
              <c:showBubbleSize val="0"/>
              <c:extLst>
                <c:ext xmlns:c15="http://schemas.microsoft.com/office/drawing/2012/chart" uri="{CE6537A1-D6FC-4f65-9D91-7224C49458BB}">
                  <c15:layout>
                    <c:manualLayout>
                      <c:w val="0.2512629035800571"/>
                      <c:h val="9.8005786692829999E-2"/>
                    </c:manualLayout>
                  </c15:layout>
                </c:ext>
                <c:ext xmlns:c16="http://schemas.microsoft.com/office/drawing/2014/chart" uri="{C3380CC4-5D6E-409C-BE32-E72D297353CC}">
                  <c16:uniqueId val="{00000005-1947-4254-8C43-7DA3E702D302}"/>
                </c:ext>
              </c:extLst>
            </c:dLbl>
            <c:dLbl>
              <c:idx val="3"/>
              <c:layout>
                <c:manualLayout>
                  <c:x val="-0.16253019986821876"/>
                  <c:y val="-0.12354394634662902"/>
                </c:manualLayout>
              </c:layout>
              <c:spPr>
                <a:solidFill>
                  <a:schemeClr val="bg1"/>
                </a:solid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rgbClr val="00B050"/>
                      </a:solidFill>
                      <a:latin typeface="+mn-lt"/>
                      <a:ea typeface="+mn-ea"/>
                      <a:cs typeface="+mn-cs"/>
                    </a:defRPr>
                  </a:pPr>
                  <a:endParaRPr lang="fr-FR"/>
                </a:p>
              </c:txPr>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1947-4254-8C43-7DA3E702D302}"/>
                </c:ext>
              </c:extLst>
            </c:dLbl>
            <c:spPr>
              <a:solidFill>
                <a:schemeClr val="bg1"/>
              </a:solid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fr-FR"/>
              </a:p>
            </c:txPr>
            <c:showLegendKey val="0"/>
            <c:showVal val="1"/>
            <c:showCatName val="0"/>
            <c:showSerName val="0"/>
            <c:showPercent val="1"/>
            <c:showBubbleSize val="0"/>
            <c:separator>
</c:separator>
            <c:showLeaderLines val="0"/>
            <c:extLst>
              <c:ext xmlns:c15="http://schemas.microsoft.com/office/drawing/2012/chart" uri="{CE6537A1-D6FC-4f65-9D91-7224C49458BB}"/>
            </c:extLst>
          </c:dLbls>
          <c:cat>
            <c:strRef>
              <c:f>Synthèse!$E$15:$E$18</c:f>
              <c:strCache>
                <c:ptCount val="4"/>
                <c:pt idx="0">
                  <c:v>Industrie</c:v>
                </c:pt>
                <c:pt idx="1">
                  <c:v>BTP</c:v>
                </c:pt>
                <c:pt idx="2">
                  <c:v>Tertiaire</c:v>
                </c:pt>
                <c:pt idx="3">
                  <c:v>Agriculture</c:v>
                </c:pt>
              </c:strCache>
            </c:strRef>
          </c:cat>
          <c:val>
            <c:numRef>
              <c:f>Synthèse!$N$15:$N$18</c:f>
              <c:numCache>
                <c:formatCode>#,##0</c:formatCode>
                <c:ptCount val="4"/>
                <c:pt idx="0">
                  <c:v>305663</c:v>
                </c:pt>
                <c:pt idx="1">
                  <c:v>113236</c:v>
                </c:pt>
                <c:pt idx="2">
                  <c:v>1483080</c:v>
                </c:pt>
                <c:pt idx="3">
                  <c:v>24613</c:v>
                </c:pt>
              </c:numCache>
            </c:numRef>
          </c:val>
          <c:extLst>
            <c:ext xmlns:c16="http://schemas.microsoft.com/office/drawing/2014/chart" uri="{C3380CC4-5D6E-409C-BE32-E72D297353CC}">
              <c16:uniqueId val="{00000008-1947-4254-8C43-7DA3E702D302}"/>
            </c:ext>
          </c:extLst>
        </c:ser>
        <c:dLbls>
          <c:showLegendKey val="0"/>
          <c:showVal val="1"/>
          <c:showCatName val="0"/>
          <c:showSerName val="0"/>
          <c:showPercent val="0"/>
          <c:showBubbleSize val="0"/>
          <c:showLeaderLines val="0"/>
        </c:dLbls>
        <c:firstSliceAng val="0"/>
        <c:holeSize val="40"/>
        <c:extLst>
          <c:ext xmlns:c15="http://schemas.microsoft.com/office/drawing/2012/chart" uri="{02D57815-91ED-43cb-92C2-25804820EDAC}">
            <c15:filteredPieSeries>
              <c15:ser>
                <c:idx val="0"/>
                <c:order val="0"/>
                <c:tx>
                  <c:strRef>
                    <c:extLst>
                      <c:ext uri="{02D57815-91ED-43cb-92C2-25804820EDAC}">
                        <c15:formulaRef>
                          <c15:sqref>Synthèse!$M$14</c15:sqref>
                        </c15:formulaRef>
                      </c:ext>
                    </c:extLst>
                    <c:strCache>
                      <c:ptCount val="1"/>
                      <c:pt idx="0">
                        <c:v>Ardennes</c:v>
                      </c:pt>
                    </c:strCache>
                  </c:strRef>
                </c:tx>
                <c:dPt>
                  <c:idx val="0"/>
                  <c:bubble3D val="0"/>
                  <c:spPr>
                    <a:solidFill>
                      <a:schemeClr val="accent6"/>
                    </a:solidFill>
                    <a:ln w="19050">
                      <a:solidFill>
                        <a:schemeClr val="lt1"/>
                      </a:solidFill>
                    </a:ln>
                    <a:effectLst/>
                  </c:spPr>
                  <c:extLst>
                    <c:ext xmlns:c16="http://schemas.microsoft.com/office/drawing/2014/chart" uri="{C3380CC4-5D6E-409C-BE32-E72D297353CC}">
                      <c16:uniqueId val="{0000000A-1947-4254-8C43-7DA3E702D302}"/>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C-1947-4254-8C43-7DA3E702D302}"/>
                    </c:ext>
                  </c:extLst>
                </c:dPt>
                <c:dPt>
                  <c:idx val="2"/>
                  <c:bubble3D val="0"/>
                  <c:spPr>
                    <a:solidFill>
                      <a:srgbClr val="FFC000"/>
                    </a:solidFill>
                    <a:ln w="19050">
                      <a:solidFill>
                        <a:schemeClr val="lt1"/>
                      </a:solidFill>
                    </a:ln>
                    <a:effectLst/>
                  </c:spPr>
                  <c:extLst>
                    <c:ext xmlns:c16="http://schemas.microsoft.com/office/drawing/2014/chart" uri="{C3380CC4-5D6E-409C-BE32-E72D297353CC}">
                      <c16:uniqueId val="{0000000E-1947-4254-8C43-7DA3E702D302}"/>
                    </c:ext>
                  </c:extLst>
                </c:dPt>
                <c:dPt>
                  <c:idx val="3"/>
                  <c:bubble3D val="0"/>
                  <c:spPr>
                    <a:solidFill>
                      <a:srgbClr val="FFC000"/>
                    </a:solidFill>
                    <a:ln w="19050">
                      <a:solidFill>
                        <a:schemeClr val="lt1"/>
                      </a:solidFill>
                    </a:ln>
                    <a:effectLst/>
                  </c:spPr>
                  <c:extLst>
                    <c:ext xmlns:c16="http://schemas.microsoft.com/office/drawing/2014/chart" uri="{C3380CC4-5D6E-409C-BE32-E72D297353CC}">
                      <c16:uniqueId val="{00000010-1947-4254-8C43-7DA3E702D302}"/>
                    </c:ext>
                  </c:extLst>
                </c:dPt>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fr-FR"/>
                    </a:p>
                  </c:txPr>
                  <c:showLegendKey val="0"/>
                  <c:showVal val="1"/>
                  <c:showCatName val="0"/>
                  <c:showSerName val="0"/>
                  <c:showPercent val="1"/>
                  <c:showBubbleSize val="0"/>
                  <c:separator>
</c:separator>
                  <c:showLeaderLines val="0"/>
                  <c:extLst>
                    <c:ext uri="{CE6537A1-D6FC-4f65-9D91-7224C49458BB}"/>
                  </c:extLst>
                </c:dLbls>
                <c:cat>
                  <c:strRef>
                    <c:extLst>
                      <c:ext uri="{02D57815-91ED-43cb-92C2-25804820EDAC}">
                        <c15:formulaRef>
                          <c15:sqref>Synthèse!$E$15:$E$18</c15:sqref>
                        </c15:formulaRef>
                      </c:ext>
                    </c:extLst>
                    <c:strCache>
                      <c:ptCount val="4"/>
                      <c:pt idx="0">
                        <c:v>Industrie</c:v>
                      </c:pt>
                      <c:pt idx="1">
                        <c:v>BTP</c:v>
                      </c:pt>
                      <c:pt idx="2">
                        <c:v>Tertiaire</c:v>
                      </c:pt>
                      <c:pt idx="3">
                        <c:v>Agriculture</c:v>
                      </c:pt>
                    </c:strCache>
                  </c:strRef>
                </c:cat>
                <c:val>
                  <c:numRef>
                    <c:extLst>
                      <c:ext uri="{02D57815-91ED-43cb-92C2-25804820EDAC}">
                        <c15:formulaRef>
                          <c15:sqref>Synthèse!$M$15:$M$18</c15:sqref>
                        </c15:formulaRef>
                      </c:ext>
                    </c:extLst>
                    <c:numCache>
                      <c:formatCode>#,##0</c:formatCode>
                      <c:ptCount val="4"/>
                      <c:pt idx="0">
                        <c:v>16822</c:v>
                      </c:pt>
                      <c:pt idx="1">
                        <c:v>4512</c:v>
                      </c:pt>
                      <c:pt idx="2">
                        <c:v>57520</c:v>
                      </c:pt>
                      <c:pt idx="3">
                        <c:v>1212</c:v>
                      </c:pt>
                    </c:numCache>
                  </c:numRef>
                </c:val>
                <c:extLst>
                  <c:ext xmlns:c16="http://schemas.microsoft.com/office/drawing/2014/chart" uri="{C3380CC4-5D6E-409C-BE32-E72D297353CC}">
                    <c16:uniqueId val="{00000011-1947-4254-8C43-7DA3E702D302}"/>
                  </c:ext>
                </c:extLst>
              </c15:ser>
            </c15:filteredPieSeries>
          </c:ext>
        </c:extLst>
      </c:doughnutChart>
      <c:spPr>
        <a:noFill/>
        <a:ln>
          <a:noFill/>
        </a:ln>
        <a:effectLst/>
      </c:spPr>
    </c:plotArea>
    <c:legend>
      <c:legendPos val="b"/>
      <c:overlay val="0"/>
      <c:spPr>
        <a:noFill/>
        <a:ln>
          <a:noFill/>
        </a:ln>
        <a:effectLst/>
      </c:spPr>
      <c:txPr>
        <a:bodyPr rot="0" spcFirstLastPara="1" vertOverflow="ellipsis" vert="horz" wrap="square" anchor="ctr" anchorCtr="1"/>
        <a:lstStyle/>
        <a:p>
          <a:pPr rtl="0">
            <a:defRPr sz="1000" b="0" i="0" u="none" strike="noStrike" kern="1200" baseline="0">
              <a:solidFill>
                <a:schemeClr val="tx1">
                  <a:lumMod val="65000"/>
                  <a:lumOff val="35000"/>
                </a:schemeClr>
              </a:solidFill>
              <a:latin typeface="+mn-lt"/>
              <a:ea typeface="+mn-ea"/>
              <a:cs typeface="+mn-cs"/>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sz="1000"/>
      </a:pPr>
      <a:endParaRPr lang="fr-F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strRef>
          <c:f>Synthèse!$E$48</c:f>
          <c:strCache>
            <c:ptCount val="1"/>
            <c:pt idx="0">
              <c:v>Etablissements 2020
Vosges</c:v>
            </c:pt>
          </c:strCache>
        </c:strRef>
      </c:tx>
      <c:overlay val="0"/>
      <c:spPr>
        <a:noFill/>
        <a:ln>
          <a:noFill/>
        </a:ln>
        <a:effectLst/>
      </c:spPr>
      <c:txPr>
        <a:bodyPr rot="0" spcFirstLastPara="1" vertOverflow="ellipsis" vert="horz" wrap="square" anchor="ctr" anchorCtr="1"/>
        <a:lstStyle/>
        <a:p>
          <a:pPr>
            <a:defRPr sz="1000" b="1"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doughnutChart>
        <c:varyColors val="1"/>
        <c:ser>
          <c:idx val="0"/>
          <c:order val="0"/>
          <c:tx>
            <c:strRef>
              <c:f>Synthèse!$M$42</c:f>
              <c:strCache>
                <c:ptCount val="1"/>
                <c:pt idx="0">
                  <c:v>Vosges</c:v>
                </c:pt>
              </c:strCache>
            </c:strRef>
          </c:tx>
          <c:dPt>
            <c:idx val="0"/>
            <c:bubble3D val="0"/>
            <c:spPr>
              <a:solidFill>
                <a:schemeClr val="accent6"/>
              </a:solidFill>
              <a:ln w="19050">
                <a:solidFill>
                  <a:schemeClr val="lt1"/>
                </a:solidFill>
              </a:ln>
              <a:effectLst/>
            </c:spPr>
            <c:extLst>
              <c:ext xmlns:c16="http://schemas.microsoft.com/office/drawing/2014/chart" uri="{C3380CC4-5D6E-409C-BE32-E72D297353CC}">
                <c16:uniqueId val="{00000001-F914-4AEC-AC56-0F2E45515D60}"/>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F914-4AEC-AC56-0F2E45515D60}"/>
              </c:ext>
            </c:extLst>
          </c:dPt>
          <c:dPt>
            <c:idx val="2"/>
            <c:bubble3D val="0"/>
            <c:spPr>
              <a:solidFill>
                <a:srgbClr val="FFC000"/>
              </a:solidFill>
              <a:ln w="19050">
                <a:solidFill>
                  <a:schemeClr val="lt1"/>
                </a:solidFill>
              </a:ln>
              <a:effectLst/>
            </c:spPr>
            <c:extLst>
              <c:ext xmlns:c16="http://schemas.microsoft.com/office/drawing/2014/chart" uri="{C3380CC4-5D6E-409C-BE32-E72D297353CC}">
                <c16:uniqueId val="{00000005-F914-4AEC-AC56-0F2E45515D60}"/>
              </c:ext>
            </c:extLst>
          </c:dPt>
          <c:dPt>
            <c:idx val="3"/>
            <c:bubble3D val="0"/>
            <c:spPr>
              <a:solidFill>
                <a:srgbClr val="00B050"/>
              </a:solidFill>
              <a:ln w="19050">
                <a:solidFill>
                  <a:schemeClr val="lt1"/>
                </a:solidFill>
              </a:ln>
              <a:effectLst/>
            </c:spPr>
            <c:extLst>
              <c:ext xmlns:c16="http://schemas.microsoft.com/office/drawing/2014/chart" uri="{C3380CC4-5D6E-409C-BE32-E72D297353CC}">
                <c16:uniqueId val="{00000007-F914-4AEC-AC56-0F2E45515D60}"/>
              </c:ext>
            </c:extLst>
          </c:dPt>
          <c:dLbls>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2"/>
                      </a:solidFill>
                      <a:latin typeface="+mn-lt"/>
                      <a:ea typeface="+mn-ea"/>
                      <a:cs typeface="+mn-cs"/>
                    </a:defRPr>
                  </a:pPr>
                  <a:endParaRPr lang="fr-FR"/>
                </a:p>
              </c:txPr>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F914-4AEC-AC56-0F2E45515D60}"/>
                </c:ext>
              </c:extLst>
            </c:dLbl>
            <c:dLbl>
              <c:idx val="3"/>
              <c:layout>
                <c:manualLayout>
                  <c:x val="-9.6639578300021969E-2"/>
                  <c:y val="-0.1383960255500355"/>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4"/>
                      </a:solidFill>
                      <a:latin typeface="+mn-lt"/>
                      <a:ea typeface="+mn-ea"/>
                      <a:cs typeface="+mn-cs"/>
                    </a:defRPr>
                  </a:pPr>
                  <a:endParaRPr lang="fr-FR"/>
                </a:p>
              </c:txPr>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7-F914-4AEC-AC56-0F2E45515D60}"/>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fr-FR"/>
              </a:p>
            </c:txPr>
            <c:showLegendKey val="0"/>
            <c:showVal val="1"/>
            <c:showCatName val="0"/>
            <c:showSerName val="0"/>
            <c:showPercent val="1"/>
            <c:showBubbleSize val="0"/>
            <c:separator>
</c:separator>
            <c:showLeaderLines val="0"/>
            <c:extLst>
              <c:ext xmlns:c15="http://schemas.microsoft.com/office/drawing/2012/chart" uri="{CE6537A1-D6FC-4f65-9D91-7224C49458BB}"/>
            </c:extLst>
          </c:dLbls>
          <c:cat>
            <c:strRef>
              <c:f>Synthèse!$E$43:$E$46</c:f>
              <c:strCache>
                <c:ptCount val="4"/>
                <c:pt idx="0">
                  <c:v>Industrie</c:v>
                </c:pt>
                <c:pt idx="1">
                  <c:v>BTP</c:v>
                </c:pt>
                <c:pt idx="2">
                  <c:v>Tertiaire</c:v>
                </c:pt>
                <c:pt idx="3">
                  <c:v>Agriculture</c:v>
                </c:pt>
              </c:strCache>
            </c:strRef>
          </c:cat>
          <c:val>
            <c:numRef>
              <c:f>Synthèse!$M$43:$M$46</c:f>
              <c:numCache>
                <c:formatCode>#,##0</c:formatCode>
                <c:ptCount val="4"/>
                <c:pt idx="0">
                  <c:v>1097</c:v>
                </c:pt>
                <c:pt idx="1">
                  <c:v>1227</c:v>
                </c:pt>
                <c:pt idx="2">
                  <c:v>6547</c:v>
                </c:pt>
                <c:pt idx="3">
                  <c:v>101</c:v>
                </c:pt>
              </c:numCache>
            </c:numRef>
          </c:val>
          <c:extLst>
            <c:ext xmlns:c16="http://schemas.microsoft.com/office/drawing/2014/chart" uri="{C3380CC4-5D6E-409C-BE32-E72D297353CC}">
              <c16:uniqueId val="{00000008-F914-4AEC-AC56-0F2E45515D60}"/>
            </c:ext>
          </c:extLst>
        </c:ser>
        <c:dLbls>
          <c:showLegendKey val="0"/>
          <c:showVal val="1"/>
          <c:showCatName val="0"/>
          <c:showSerName val="0"/>
          <c:showPercent val="0"/>
          <c:showBubbleSize val="0"/>
          <c:showLeaderLines val="0"/>
        </c:dLbls>
        <c:firstSliceAng val="0"/>
        <c:holeSize val="40"/>
        <c:extLst>
          <c:ext xmlns:c15="http://schemas.microsoft.com/office/drawing/2012/chart" uri="{02D57815-91ED-43cb-92C2-25804820EDAC}">
            <c15:filteredPieSeries>
              <c15:ser>
                <c:idx val="1"/>
                <c:order val="1"/>
                <c:tx>
                  <c:strRef>
                    <c:extLst>
                      <c:ext uri="{02D57815-91ED-43cb-92C2-25804820EDAC}">
                        <c15:formulaRef>
                          <c15:sqref>Synthèse!$N$42</c15:sqref>
                        </c15:formulaRef>
                      </c:ext>
                    </c:extLst>
                    <c:strCache>
                      <c:ptCount val="1"/>
                      <c:pt idx="0">
                        <c:v>Grand Est</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A-F914-4AEC-AC56-0F2E45515D60}"/>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C-F914-4AEC-AC56-0F2E45515D60}"/>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E-F914-4AEC-AC56-0F2E45515D60}"/>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10-F914-4AEC-AC56-0F2E45515D60}"/>
                    </c:ext>
                  </c:extLst>
                </c:dPt>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fr-FR"/>
                    </a:p>
                  </c:txPr>
                  <c:showLegendKey val="0"/>
                  <c:showVal val="1"/>
                  <c:showCatName val="0"/>
                  <c:showSerName val="0"/>
                  <c:showPercent val="0"/>
                  <c:showBubbleSize val="0"/>
                  <c:separator>
</c:separator>
                  <c:showLeaderLines val="0"/>
                  <c:extLst>
                    <c:ext uri="{CE6537A1-D6FC-4f65-9D91-7224C49458BB}"/>
                  </c:extLst>
                </c:dLbls>
                <c:cat>
                  <c:strRef>
                    <c:extLst>
                      <c:ext uri="{02D57815-91ED-43cb-92C2-25804820EDAC}">
                        <c15:formulaRef>
                          <c15:sqref>Synthèse!$E$43:$E$46</c15:sqref>
                        </c15:formulaRef>
                      </c:ext>
                    </c:extLst>
                    <c:strCache>
                      <c:ptCount val="4"/>
                      <c:pt idx="0">
                        <c:v>Industrie</c:v>
                      </c:pt>
                      <c:pt idx="1">
                        <c:v>BTP</c:v>
                      </c:pt>
                      <c:pt idx="2">
                        <c:v>Tertiaire</c:v>
                      </c:pt>
                      <c:pt idx="3">
                        <c:v>Agriculture</c:v>
                      </c:pt>
                    </c:strCache>
                  </c:strRef>
                </c:cat>
                <c:val>
                  <c:numRef>
                    <c:extLst>
                      <c:ext uri="{02D57815-91ED-43cb-92C2-25804820EDAC}">
                        <c15:formulaRef>
                          <c15:sqref>Synthèse!$N$43:$N$46</c15:sqref>
                        </c15:formulaRef>
                      </c:ext>
                    </c:extLst>
                    <c:numCache>
                      <c:formatCode>#,##0</c:formatCode>
                      <c:ptCount val="4"/>
                      <c:pt idx="0">
                        <c:v>11583</c:v>
                      </c:pt>
                      <c:pt idx="1">
                        <c:v>16129</c:v>
                      </c:pt>
                      <c:pt idx="2">
                        <c:v>101606</c:v>
                      </c:pt>
                      <c:pt idx="3">
                        <c:v>1286</c:v>
                      </c:pt>
                    </c:numCache>
                  </c:numRef>
                </c:val>
                <c:extLst>
                  <c:ext xmlns:c16="http://schemas.microsoft.com/office/drawing/2014/chart" uri="{C3380CC4-5D6E-409C-BE32-E72D297353CC}">
                    <c16:uniqueId val="{00000011-F914-4AEC-AC56-0F2E45515D60}"/>
                  </c:ext>
                </c:extLst>
              </c15:ser>
            </c15:filteredPieSeries>
          </c:ext>
        </c:extLst>
      </c:doughnutChart>
      <c:spPr>
        <a:noFill/>
        <a:ln>
          <a:noFill/>
        </a:ln>
        <a:effectLst/>
      </c:spPr>
    </c:plotArea>
    <c:legend>
      <c:legendPos val="b"/>
      <c:overlay val="0"/>
      <c:spPr>
        <a:noFill/>
        <a:ln>
          <a:noFill/>
        </a:ln>
        <a:effectLst/>
      </c:spPr>
      <c:txPr>
        <a:bodyPr rot="0" spcFirstLastPara="1" vertOverflow="ellipsis" vert="horz" wrap="square" anchor="ctr" anchorCtr="1"/>
        <a:lstStyle/>
        <a:p>
          <a:pPr rtl="0">
            <a:defRPr sz="1000" b="0" i="0" u="none" strike="noStrike" kern="1200" baseline="0">
              <a:solidFill>
                <a:schemeClr val="tx1">
                  <a:lumMod val="65000"/>
                  <a:lumOff val="35000"/>
                </a:schemeClr>
              </a:solidFill>
              <a:latin typeface="+mn-lt"/>
              <a:ea typeface="+mn-ea"/>
              <a:cs typeface="+mn-cs"/>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sz="1000"/>
      </a:pPr>
      <a:endParaRPr lang="fr-FR"/>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strRef>
          <c:f>Synthèse!$E$49</c:f>
          <c:strCache>
            <c:ptCount val="1"/>
            <c:pt idx="0">
              <c:v>Etablissements 2020
Grand Est</c:v>
            </c:pt>
          </c:strCache>
        </c:strRef>
      </c:tx>
      <c:overlay val="0"/>
      <c:spPr>
        <a:noFill/>
        <a:ln>
          <a:noFill/>
        </a:ln>
        <a:effectLst/>
      </c:spPr>
      <c:txPr>
        <a:bodyPr rot="0" spcFirstLastPara="1" vertOverflow="ellipsis" vert="horz" wrap="square" anchor="ctr" anchorCtr="1"/>
        <a:lstStyle/>
        <a:p>
          <a:pPr>
            <a:defRPr sz="1000" b="1"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doughnutChart>
        <c:varyColors val="1"/>
        <c:ser>
          <c:idx val="1"/>
          <c:order val="1"/>
          <c:tx>
            <c:strRef>
              <c:f>Synthèse!$N$42</c:f>
              <c:strCache>
                <c:ptCount val="1"/>
                <c:pt idx="0">
                  <c:v>Grand Est</c:v>
                </c:pt>
              </c:strCache>
            </c:strRef>
          </c:tx>
          <c:dPt>
            <c:idx val="0"/>
            <c:bubble3D val="0"/>
            <c:spPr>
              <a:pattFill prst="dkUpDiag">
                <a:fgClr>
                  <a:schemeClr val="accent6"/>
                </a:fgClr>
                <a:bgClr>
                  <a:schemeClr val="bg1"/>
                </a:bgClr>
              </a:pattFill>
              <a:ln w="19050">
                <a:solidFill>
                  <a:schemeClr val="lt1"/>
                </a:solidFill>
              </a:ln>
              <a:effectLst/>
            </c:spPr>
            <c:extLst>
              <c:ext xmlns:c16="http://schemas.microsoft.com/office/drawing/2014/chart" uri="{C3380CC4-5D6E-409C-BE32-E72D297353CC}">
                <c16:uniqueId val="{00000001-02BC-4F9D-93B5-6D421E5ADB6F}"/>
              </c:ext>
            </c:extLst>
          </c:dPt>
          <c:dPt>
            <c:idx val="1"/>
            <c:bubble3D val="0"/>
            <c:spPr>
              <a:pattFill prst="dkUpDiag">
                <a:fgClr>
                  <a:schemeClr val="accent2"/>
                </a:fgClr>
                <a:bgClr>
                  <a:schemeClr val="bg1"/>
                </a:bgClr>
              </a:pattFill>
              <a:ln w="19050">
                <a:solidFill>
                  <a:schemeClr val="lt1"/>
                </a:solidFill>
              </a:ln>
              <a:effectLst/>
            </c:spPr>
            <c:extLst>
              <c:ext xmlns:c16="http://schemas.microsoft.com/office/drawing/2014/chart" uri="{C3380CC4-5D6E-409C-BE32-E72D297353CC}">
                <c16:uniqueId val="{00000003-02BC-4F9D-93B5-6D421E5ADB6F}"/>
              </c:ext>
            </c:extLst>
          </c:dPt>
          <c:dPt>
            <c:idx val="2"/>
            <c:bubble3D val="0"/>
            <c:spPr>
              <a:pattFill prst="dkUpDiag">
                <a:fgClr>
                  <a:srgbClr val="FFC000"/>
                </a:fgClr>
                <a:bgClr>
                  <a:schemeClr val="bg1"/>
                </a:bgClr>
              </a:pattFill>
              <a:ln w="19050">
                <a:solidFill>
                  <a:schemeClr val="lt1"/>
                </a:solidFill>
              </a:ln>
              <a:effectLst/>
            </c:spPr>
            <c:extLst>
              <c:ext xmlns:c16="http://schemas.microsoft.com/office/drawing/2014/chart" uri="{C3380CC4-5D6E-409C-BE32-E72D297353CC}">
                <c16:uniqueId val="{00000005-02BC-4F9D-93B5-6D421E5ADB6F}"/>
              </c:ext>
            </c:extLst>
          </c:dPt>
          <c:dPt>
            <c:idx val="3"/>
            <c:bubble3D val="0"/>
            <c:spPr>
              <a:pattFill prst="dkUpDiag">
                <a:fgClr>
                  <a:schemeClr val="accent4"/>
                </a:fgClr>
                <a:bgClr>
                  <a:schemeClr val="bg1"/>
                </a:bgClr>
              </a:pattFill>
              <a:ln w="19050">
                <a:solidFill>
                  <a:schemeClr val="lt1"/>
                </a:solidFill>
              </a:ln>
              <a:effectLst/>
            </c:spPr>
            <c:extLst>
              <c:ext xmlns:c16="http://schemas.microsoft.com/office/drawing/2014/chart" uri="{C3380CC4-5D6E-409C-BE32-E72D297353CC}">
                <c16:uniqueId val="{00000007-02BC-4F9D-93B5-6D421E5ADB6F}"/>
              </c:ext>
            </c:extLst>
          </c:dPt>
          <c:dLbls>
            <c:dLbl>
              <c:idx val="0"/>
              <c:spPr>
                <a:solidFill>
                  <a:schemeClr val="bg1"/>
                </a:solid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6"/>
                      </a:solidFill>
                      <a:latin typeface="+mn-lt"/>
                      <a:ea typeface="+mn-ea"/>
                      <a:cs typeface="+mn-cs"/>
                    </a:defRPr>
                  </a:pPr>
                  <a:endParaRPr lang="fr-FR"/>
                </a:p>
              </c:txPr>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02BC-4F9D-93B5-6D421E5ADB6F}"/>
                </c:ext>
              </c:extLst>
            </c:dLbl>
            <c:dLbl>
              <c:idx val="1"/>
              <c:spPr>
                <a:solidFill>
                  <a:schemeClr val="bg1"/>
                </a:solid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2"/>
                      </a:solidFill>
                      <a:latin typeface="+mn-lt"/>
                      <a:ea typeface="+mn-ea"/>
                      <a:cs typeface="+mn-cs"/>
                    </a:defRPr>
                  </a:pPr>
                  <a:endParaRPr lang="fr-FR"/>
                </a:p>
              </c:txPr>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02BC-4F9D-93B5-6D421E5ADB6F}"/>
                </c:ext>
              </c:extLst>
            </c:dLbl>
            <c:dLbl>
              <c:idx val="2"/>
              <c:spPr>
                <a:solidFill>
                  <a:schemeClr val="bg1"/>
                </a:solid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5">
                          <a:lumMod val="75000"/>
                        </a:schemeClr>
                      </a:solidFill>
                      <a:latin typeface="+mn-lt"/>
                      <a:ea typeface="+mn-ea"/>
                      <a:cs typeface="+mn-cs"/>
                    </a:defRPr>
                  </a:pPr>
                  <a:endParaRPr lang="fr-FR"/>
                </a:p>
              </c:txPr>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02BC-4F9D-93B5-6D421E5ADB6F}"/>
                </c:ext>
              </c:extLst>
            </c:dLbl>
            <c:dLbl>
              <c:idx val="3"/>
              <c:layout>
                <c:manualLayout>
                  <c:x val="-0.1010322864045685"/>
                  <c:y val="-0.11000709723207951"/>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rgbClr val="00B050"/>
                      </a:solidFill>
                      <a:latin typeface="+mn-lt"/>
                      <a:ea typeface="+mn-ea"/>
                      <a:cs typeface="+mn-cs"/>
                    </a:defRPr>
                  </a:pPr>
                  <a:endParaRPr lang="fr-FR"/>
                </a:p>
              </c:txPr>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02BC-4F9D-93B5-6D421E5ADB6F}"/>
                </c:ext>
              </c:extLst>
            </c:dLbl>
            <c:spPr>
              <a:solidFill>
                <a:schemeClr val="bg1"/>
              </a:solid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fr-FR"/>
              </a:p>
            </c:txPr>
            <c:showLegendKey val="0"/>
            <c:showVal val="1"/>
            <c:showCatName val="0"/>
            <c:showSerName val="0"/>
            <c:showPercent val="1"/>
            <c:showBubbleSize val="0"/>
            <c:separator>
</c:separator>
            <c:showLeaderLines val="0"/>
            <c:extLst>
              <c:ext xmlns:c15="http://schemas.microsoft.com/office/drawing/2012/chart" uri="{CE6537A1-D6FC-4f65-9D91-7224C49458BB}"/>
            </c:extLst>
          </c:dLbls>
          <c:cat>
            <c:strRef>
              <c:f>Synthèse!$E$43:$E$46</c:f>
              <c:strCache>
                <c:ptCount val="4"/>
                <c:pt idx="0">
                  <c:v>Industrie</c:v>
                </c:pt>
                <c:pt idx="1">
                  <c:v>BTP</c:v>
                </c:pt>
                <c:pt idx="2">
                  <c:v>Tertiaire</c:v>
                </c:pt>
                <c:pt idx="3">
                  <c:v>Agriculture</c:v>
                </c:pt>
              </c:strCache>
            </c:strRef>
          </c:cat>
          <c:val>
            <c:numRef>
              <c:f>Synthèse!$N$43:$N$46</c:f>
              <c:numCache>
                <c:formatCode>#,##0</c:formatCode>
                <c:ptCount val="4"/>
                <c:pt idx="0">
                  <c:v>11583</c:v>
                </c:pt>
                <c:pt idx="1">
                  <c:v>16129</c:v>
                </c:pt>
                <c:pt idx="2">
                  <c:v>101606</c:v>
                </c:pt>
                <c:pt idx="3">
                  <c:v>1286</c:v>
                </c:pt>
              </c:numCache>
            </c:numRef>
          </c:val>
          <c:extLst>
            <c:ext xmlns:c16="http://schemas.microsoft.com/office/drawing/2014/chart" uri="{C3380CC4-5D6E-409C-BE32-E72D297353CC}">
              <c16:uniqueId val="{00000008-02BC-4F9D-93B5-6D421E5ADB6F}"/>
            </c:ext>
          </c:extLst>
        </c:ser>
        <c:dLbls>
          <c:showLegendKey val="0"/>
          <c:showVal val="1"/>
          <c:showCatName val="0"/>
          <c:showSerName val="0"/>
          <c:showPercent val="0"/>
          <c:showBubbleSize val="0"/>
          <c:showLeaderLines val="0"/>
        </c:dLbls>
        <c:firstSliceAng val="0"/>
        <c:holeSize val="40"/>
        <c:extLst>
          <c:ext xmlns:c15="http://schemas.microsoft.com/office/drawing/2012/chart" uri="{02D57815-91ED-43cb-92C2-25804820EDAC}">
            <c15:filteredPieSeries>
              <c15:ser>
                <c:idx val="0"/>
                <c:order val="0"/>
                <c:tx>
                  <c:strRef>
                    <c:extLst>
                      <c:ext uri="{02D57815-91ED-43cb-92C2-25804820EDAC}">
                        <c15:formulaRef>
                          <c15:sqref>Synthèse!$M$42</c15:sqref>
                        </c15:formulaRef>
                      </c:ext>
                    </c:extLst>
                    <c:strCache>
                      <c:ptCount val="1"/>
                      <c:pt idx="0">
                        <c:v>Ardennes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A-02BC-4F9D-93B5-6D421E5ADB6F}"/>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C-02BC-4F9D-93B5-6D421E5ADB6F}"/>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E-02BC-4F9D-93B5-6D421E5ADB6F}"/>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10-02BC-4F9D-93B5-6D421E5ADB6F}"/>
                    </c:ext>
                  </c:extLst>
                </c:dPt>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fr-FR"/>
                    </a:p>
                  </c:txPr>
                  <c:showLegendKey val="0"/>
                  <c:showVal val="1"/>
                  <c:showCatName val="0"/>
                  <c:showSerName val="0"/>
                  <c:showPercent val="0"/>
                  <c:showBubbleSize val="0"/>
                  <c:separator>
</c:separator>
                  <c:showLeaderLines val="0"/>
                  <c:extLst>
                    <c:ext uri="{CE6537A1-D6FC-4f65-9D91-7224C49458BB}"/>
                  </c:extLst>
                </c:dLbls>
                <c:cat>
                  <c:strRef>
                    <c:extLst>
                      <c:ext uri="{02D57815-91ED-43cb-92C2-25804820EDAC}">
                        <c15:formulaRef>
                          <c15:sqref>Synthèse!$E$43:$E$46</c15:sqref>
                        </c15:formulaRef>
                      </c:ext>
                    </c:extLst>
                    <c:strCache>
                      <c:ptCount val="4"/>
                      <c:pt idx="0">
                        <c:v>Industrie</c:v>
                      </c:pt>
                      <c:pt idx="1">
                        <c:v>BTP</c:v>
                      </c:pt>
                      <c:pt idx="2">
                        <c:v>Tertiaire</c:v>
                      </c:pt>
                      <c:pt idx="3">
                        <c:v>Agriculture</c:v>
                      </c:pt>
                    </c:strCache>
                  </c:strRef>
                </c:cat>
                <c:val>
                  <c:numRef>
                    <c:extLst>
                      <c:ext uri="{02D57815-91ED-43cb-92C2-25804820EDAC}">
                        <c15:formulaRef>
                          <c15:sqref>Synthèse!$M$43:$M$46</c15:sqref>
                        </c15:formulaRef>
                      </c:ext>
                    </c:extLst>
                    <c:numCache>
                      <c:formatCode>#,##0</c:formatCode>
                      <c:ptCount val="4"/>
                      <c:pt idx="0">
                        <c:v>750</c:v>
                      </c:pt>
                      <c:pt idx="1">
                        <c:v>712</c:v>
                      </c:pt>
                      <c:pt idx="2">
                        <c:v>3938</c:v>
                      </c:pt>
                      <c:pt idx="3">
                        <c:v>89</c:v>
                      </c:pt>
                    </c:numCache>
                  </c:numRef>
                </c:val>
                <c:extLst>
                  <c:ext xmlns:c16="http://schemas.microsoft.com/office/drawing/2014/chart" uri="{C3380CC4-5D6E-409C-BE32-E72D297353CC}">
                    <c16:uniqueId val="{00000011-02BC-4F9D-93B5-6D421E5ADB6F}"/>
                  </c:ext>
                </c:extLst>
              </c15:ser>
            </c15:filteredPieSeries>
          </c:ext>
        </c:extLst>
      </c:doughnutChart>
      <c:spPr>
        <a:noFill/>
        <a:ln>
          <a:noFill/>
        </a:ln>
        <a:effectLst/>
      </c:spPr>
    </c:plotArea>
    <c:legend>
      <c:legendPos val="b"/>
      <c:overlay val="0"/>
      <c:spPr>
        <a:noFill/>
        <a:ln>
          <a:noFill/>
        </a:ln>
        <a:effectLst/>
      </c:spPr>
      <c:txPr>
        <a:bodyPr rot="0" spcFirstLastPara="1" vertOverflow="ellipsis" vert="horz" wrap="square" anchor="ctr" anchorCtr="1"/>
        <a:lstStyle/>
        <a:p>
          <a:pPr rtl="0">
            <a:defRPr sz="1000" b="0" i="0" u="none" strike="noStrike" kern="1200" baseline="0">
              <a:solidFill>
                <a:schemeClr val="tx1">
                  <a:lumMod val="65000"/>
                  <a:lumOff val="35000"/>
                </a:schemeClr>
              </a:solidFill>
              <a:latin typeface="+mn-lt"/>
              <a:ea typeface="+mn-ea"/>
              <a:cs typeface="+mn-cs"/>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sz="1000"/>
      </a:pPr>
      <a:endParaRPr lang="fr-FR"/>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strRef>
          <c:f>Synthèse!$A$13</c:f>
          <c:strCache>
            <c:ptCount val="1"/>
            <c:pt idx="0">
              <c:v>Evolution du nombre de salariés - Vosges</c:v>
            </c:pt>
          </c:strCache>
        </c:strRef>
      </c:tx>
      <c:overlay val="0"/>
      <c:spPr>
        <a:noFill/>
        <a:ln>
          <a:noFill/>
        </a:ln>
        <a:effectLst/>
      </c:spPr>
      <c:txPr>
        <a:bodyPr rot="0" spcFirstLastPara="1" vertOverflow="ellipsis" vert="horz" wrap="square" anchor="ctr" anchorCtr="1"/>
        <a:lstStyle/>
        <a:p>
          <a:pPr>
            <a:defRPr sz="1000" b="1"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barChart>
        <c:barDir val="col"/>
        <c:grouping val="stacked"/>
        <c:varyColors val="0"/>
        <c:ser>
          <c:idx val="2"/>
          <c:order val="0"/>
          <c:tx>
            <c:strRef>
              <c:f>Synthèse!$E$15</c:f>
              <c:strCache>
                <c:ptCount val="1"/>
                <c:pt idx="0">
                  <c:v>Industrie</c:v>
                </c:pt>
              </c:strCache>
            </c:strRef>
          </c:tx>
          <c:spPr>
            <a:solidFill>
              <a:schemeClr val="accent6"/>
            </a:solidFill>
            <a:ln>
              <a:noFill/>
            </a:ln>
            <a:effectLst/>
          </c:spPr>
          <c:invertIfNegative val="0"/>
          <c:dLbls>
            <c:spPr>
              <a:noFill/>
              <a:ln>
                <a:noFill/>
              </a:ln>
              <a:effectLst/>
            </c:spPr>
            <c:txPr>
              <a:bodyPr rot="0" spcFirstLastPara="1" vertOverflow="ellipsis" vert="horz" wrap="square" anchor="ctr" anchorCtr="1"/>
              <a:lstStyle/>
              <a:p>
                <a:pPr>
                  <a:defRPr sz="1000" b="1" i="0" u="none" strike="noStrike" kern="1200" baseline="0">
                    <a:solidFill>
                      <a:schemeClr val="bg1"/>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Synthèse!$I$14:$J$14</c:f>
              <c:numCache>
                <c:formatCode>General</c:formatCode>
                <c:ptCount val="2"/>
                <c:pt idx="0">
                  <c:v>2019</c:v>
                </c:pt>
                <c:pt idx="1">
                  <c:v>2020</c:v>
                </c:pt>
              </c:numCache>
              <c:extLst/>
            </c:numRef>
          </c:cat>
          <c:val>
            <c:numRef>
              <c:f>Synthèse!$I$15:$J$15</c:f>
              <c:numCache>
                <c:formatCode>#,##0</c:formatCode>
                <c:ptCount val="2"/>
                <c:pt idx="0">
                  <c:v>25055</c:v>
                </c:pt>
                <c:pt idx="1">
                  <c:v>24457</c:v>
                </c:pt>
              </c:numCache>
              <c:extLst/>
            </c:numRef>
          </c:val>
          <c:extLst>
            <c:ext xmlns:c16="http://schemas.microsoft.com/office/drawing/2014/chart" uri="{C3380CC4-5D6E-409C-BE32-E72D297353CC}">
              <c16:uniqueId val="{00000000-0995-45EB-B298-58C4E3A45BA7}"/>
            </c:ext>
          </c:extLst>
        </c:ser>
        <c:ser>
          <c:idx val="3"/>
          <c:order val="1"/>
          <c:tx>
            <c:strRef>
              <c:f>Synthèse!$E$16</c:f>
              <c:strCache>
                <c:ptCount val="1"/>
                <c:pt idx="0">
                  <c:v>BTP</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000" b="1" i="0" u="none" strike="noStrike" kern="1200" baseline="0">
                    <a:solidFill>
                      <a:schemeClr val="bg1"/>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Synthèse!$I$14:$J$14</c:f>
              <c:numCache>
                <c:formatCode>General</c:formatCode>
                <c:ptCount val="2"/>
                <c:pt idx="0">
                  <c:v>2019</c:v>
                </c:pt>
                <c:pt idx="1">
                  <c:v>2020</c:v>
                </c:pt>
              </c:numCache>
              <c:extLst/>
            </c:numRef>
          </c:cat>
          <c:val>
            <c:numRef>
              <c:f>Synthèse!$I$16:$J$16</c:f>
              <c:numCache>
                <c:formatCode>#,##0</c:formatCode>
                <c:ptCount val="2"/>
                <c:pt idx="0">
                  <c:v>7199</c:v>
                </c:pt>
                <c:pt idx="1">
                  <c:v>7385</c:v>
                </c:pt>
              </c:numCache>
              <c:extLst/>
            </c:numRef>
          </c:val>
          <c:extLst>
            <c:ext xmlns:c16="http://schemas.microsoft.com/office/drawing/2014/chart" uri="{C3380CC4-5D6E-409C-BE32-E72D297353CC}">
              <c16:uniqueId val="{00000001-0995-45EB-B298-58C4E3A45BA7}"/>
            </c:ext>
          </c:extLst>
        </c:ser>
        <c:ser>
          <c:idx val="4"/>
          <c:order val="2"/>
          <c:tx>
            <c:strRef>
              <c:f>Synthèse!$E$17</c:f>
              <c:strCache>
                <c:ptCount val="1"/>
                <c:pt idx="0">
                  <c:v>Tertiaire</c:v>
                </c:pt>
              </c:strCache>
            </c:strRef>
          </c:tx>
          <c:spPr>
            <a:solidFill>
              <a:srgbClr val="FFC000"/>
            </a:solidFill>
            <a:ln>
              <a:noFill/>
            </a:ln>
            <a:effectLst/>
          </c:spPr>
          <c:invertIfNegative val="0"/>
          <c:dLbls>
            <c:spPr>
              <a:noFill/>
              <a:ln>
                <a:noFill/>
              </a:ln>
              <a:effectLst/>
            </c:spPr>
            <c:txPr>
              <a:bodyPr rot="0" spcFirstLastPara="1" vertOverflow="ellipsis" vert="horz" wrap="square" anchor="ctr" anchorCtr="1"/>
              <a:lstStyle/>
              <a:p>
                <a:pPr>
                  <a:defRPr sz="1000" b="1" i="0" u="none" strike="noStrike" kern="1200" baseline="0">
                    <a:solidFill>
                      <a:schemeClr val="tx2"/>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Synthèse!$I$14:$J$14</c:f>
              <c:numCache>
                <c:formatCode>General</c:formatCode>
                <c:ptCount val="2"/>
                <c:pt idx="0">
                  <c:v>2019</c:v>
                </c:pt>
                <c:pt idx="1">
                  <c:v>2020</c:v>
                </c:pt>
              </c:numCache>
              <c:extLst/>
            </c:numRef>
          </c:cat>
          <c:val>
            <c:numRef>
              <c:f>Synthèse!$I$17:$J$17</c:f>
              <c:numCache>
                <c:formatCode>#,##0</c:formatCode>
                <c:ptCount val="2"/>
                <c:pt idx="0">
                  <c:v>87651</c:v>
                </c:pt>
                <c:pt idx="1">
                  <c:v>85947</c:v>
                </c:pt>
              </c:numCache>
              <c:extLst/>
            </c:numRef>
          </c:val>
          <c:extLst>
            <c:ext xmlns:c16="http://schemas.microsoft.com/office/drawing/2014/chart" uri="{C3380CC4-5D6E-409C-BE32-E72D297353CC}">
              <c16:uniqueId val="{00000002-0995-45EB-B298-58C4E3A45BA7}"/>
            </c:ext>
          </c:extLst>
        </c:ser>
        <c:ser>
          <c:idx val="5"/>
          <c:order val="3"/>
          <c:tx>
            <c:strRef>
              <c:f>Synthèse!$E$18</c:f>
              <c:strCache>
                <c:ptCount val="1"/>
                <c:pt idx="0">
                  <c:v>Agriculture</c:v>
                </c:pt>
              </c:strCache>
            </c:strRef>
          </c:tx>
          <c:spPr>
            <a:solidFill>
              <a:srgbClr val="00B050"/>
            </a:solidFill>
            <a:ln>
              <a:noFill/>
            </a:ln>
            <a:effectLst/>
          </c:spPr>
          <c:invertIfNegative val="0"/>
          <c:dLbls>
            <c:dLbl>
              <c:idx val="0"/>
              <c:layout>
                <c:manualLayout>
                  <c:x val="-0.16140350877192985"/>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E0A-4EF4-93E3-BCA6A87BA969}"/>
                </c:ext>
              </c:extLst>
            </c:dLbl>
            <c:dLbl>
              <c:idx val="1"/>
              <c:layout>
                <c:manualLayout>
                  <c:x val="-0.1578947368421052"/>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E0A-4EF4-93E3-BCA6A87BA969}"/>
                </c:ext>
              </c:extLst>
            </c:dLbl>
            <c:spPr>
              <a:noFill/>
              <a:ln>
                <a:noFill/>
              </a:ln>
              <a:effectLst/>
            </c:spPr>
            <c:txPr>
              <a:bodyPr rot="0" spcFirstLastPara="1" vertOverflow="ellipsis" vert="horz" wrap="square" anchor="ctr" anchorCtr="1"/>
              <a:lstStyle/>
              <a:p>
                <a:pPr>
                  <a:defRPr sz="1000" b="1" i="0" u="none" strike="noStrike" kern="1200" baseline="0">
                    <a:solidFill>
                      <a:schemeClr val="accent4"/>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Synthèse!$I$14:$J$14</c:f>
              <c:numCache>
                <c:formatCode>General</c:formatCode>
                <c:ptCount val="2"/>
                <c:pt idx="0">
                  <c:v>2019</c:v>
                </c:pt>
                <c:pt idx="1">
                  <c:v>2020</c:v>
                </c:pt>
              </c:numCache>
              <c:extLst/>
            </c:numRef>
          </c:cat>
          <c:val>
            <c:numRef>
              <c:f>Synthèse!$I$18:$J$18</c:f>
              <c:numCache>
                <c:formatCode>#,##0</c:formatCode>
                <c:ptCount val="2"/>
                <c:pt idx="0">
                  <c:v>1588</c:v>
                </c:pt>
                <c:pt idx="1">
                  <c:v>1573</c:v>
                </c:pt>
              </c:numCache>
              <c:extLst/>
            </c:numRef>
          </c:val>
          <c:extLst>
            <c:ext xmlns:c16="http://schemas.microsoft.com/office/drawing/2014/chart" uri="{C3380CC4-5D6E-409C-BE32-E72D297353CC}">
              <c16:uniqueId val="{00000003-0995-45EB-B298-58C4E3A45BA7}"/>
            </c:ext>
          </c:extLst>
        </c:ser>
        <c:dLbls>
          <c:showLegendKey val="0"/>
          <c:showVal val="0"/>
          <c:showCatName val="0"/>
          <c:showSerName val="0"/>
          <c:showPercent val="0"/>
          <c:showBubbleSize val="0"/>
        </c:dLbls>
        <c:gapWidth val="80"/>
        <c:overlap val="100"/>
        <c:axId val="951825775"/>
        <c:axId val="951823695"/>
      </c:barChart>
      <c:lineChart>
        <c:grouping val="standard"/>
        <c:varyColors val="0"/>
        <c:ser>
          <c:idx val="0"/>
          <c:order val="4"/>
          <c:tx>
            <c:strRef>
              <c:f>Synthèse!$E$19</c:f>
              <c:strCache>
                <c:ptCount val="1"/>
                <c:pt idx="0">
                  <c:v>TOTAL</c:v>
                </c:pt>
              </c:strCache>
            </c:strRef>
          </c:tx>
          <c:spPr>
            <a:ln w="25400" cap="rnd">
              <a:noFill/>
              <a:round/>
            </a:ln>
            <a:effectLst/>
          </c:spPr>
          <c:marker>
            <c:symbol val="none"/>
          </c:marker>
          <c:dLbls>
            <c:spPr>
              <a:solidFill>
                <a:schemeClr val="bg1">
                  <a:lumMod val="95000"/>
                </a:schemeClr>
              </a:solid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fr-FR"/>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Lit>
              <c:ptCount val="2"/>
              <c:pt idx="0">
                <c:v>2019</c:v>
              </c:pt>
              <c:pt idx="1">
                <c:v>2020</c:v>
              </c:pt>
              <c:extLst>
                <c:ext xmlns:c15="http://schemas.microsoft.com/office/drawing/2012/chart" uri="{02D57815-91ED-43cb-92C2-25804820EDAC}">
                  <c15:autoCat val="1"/>
                </c:ext>
              </c:extLst>
            </c:strLit>
          </c:cat>
          <c:val>
            <c:numRef>
              <c:f>Synthèse!$I$19:$J$19</c:f>
              <c:numCache>
                <c:formatCode>#,##0</c:formatCode>
                <c:ptCount val="2"/>
                <c:pt idx="0">
                  <c:v>121493</c:v>
                </c:pt>
                <c:pt idx="1">
                  <c:v>119362</c:v>
                </c:pt>
              </c:numCache>
              <c:extLst/>
            </c:numRef>
          </c:val>
          <c:smooth val="0"/>
          <c:extLst>
            <c:ext xmlns:c16="http://schemas.microsoft.com/office/drawing/2014/chart" uri="{C3380CC4-5D6E-409C-BE32-E72D297353CC}">
              <c16:uniqueId val="{00000004-0995-45EB-B298-58C4E3A45BA7}"/>
            </c:ext>
          </c:extLst>
        </c:ser>
        <c:dLbls>
          <c:dLblPos val="ctr"/>
          <c:showLegendKey val="0"/>
          <c:showVal val="1"/>
          <c:showCatName val="0"/>
          <c:showSerName val="0"/>
          <c:showPercent val="0"/>
          <c:showBubbleSize val="0"/>
        </c:dLbls>
        <c:marker val="1"/>
        <c:smooth val="0"/>
        <c:axId val="951825775"/>
        <c:axId val="951823695"/>
      </c:lineChart>
      <c:catAx>
        <c:axId val="95182577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fr-FR"/>
          </a:p>
        </c:txPr>
        <c:crossAx val="951823695"/>
        <c:crosses val="autoZero"/>
        <c:auto val="1"/>
        <c:lblAlgn val="ctr"/>
        <c:lblOffset val="100"/>
        <c:noMultiLvlLbl val="0"/>
      </c:catAx>
      <c:valAx>
        <c:axId val="951823695"/>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fr-FR"/>
          </a:p>
        </c:txPr>
        <c:crossAx val="951825775"/>
        <c:crosses val="autoZero"/>
        <c:crossBetween val="between"/>
      </c:valAx>
      <c:spPr>
        <a:noFill/>
        <a:ln>
          <a:noFill/>
        </a:ln>
        <a:effectLst/>
      </c:spPr>
    </c:plotArea>
    <c:legend>
      <c:legendPos val="b"/>
      <c:legendEntry>
        <c:idx val="4"/>
        <c:delete val="1"/>
      </c:legendEntry>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000"/>
      </a:pPr>
      <a:endParaRPr lang="fr-FR"/>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strRef>
          <c:f>Synthèse!$A$243</c:f>
          <c:strCache>
            <c:ptCount val="1"/>
            <c:pt idx="0">
              <c:v>Evolution des tonnages produit sur la base des tonnages entrant en installation de traitement à périmètre constant - Vosges</c:v>
            </c:pt>
          </c:strCache>
        </c:strRef>
      </c:tx>
      <c:overlay val="0"/>
      <c:spPr>
        <a:noFill/>
        <a:ln>
          <a:noFill/>
        </a:ln>
        <a:effectLst/>
      </c:spPr>
      <c:txPr>
        <a:bodyPr rot="0" spcFirstLastPara="1" vertOverflow="ellipsis" vert="horz" wrap="square" anchor="ctr" anchorCtr="1"/>
        <a:lstStyle/>
        <a:p>
          <a:pPr>
            <a:defRPr sz="1000" b="1"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barChart>
        <c:barDir val="col"/>
        <c:grouping val="stacked"/>
        <c:varyColors val="0"/>
        <c:ser>
          <c:idx val="0"/>
          <c:order val="0"/>
          <c:tx>
            <c:strRef>
              <c:f>Synthèse!$E$247</c:f>
              <c:strCache>
                <c:ptCount val="1"/>
                <c:pt idx="0">
                  <c:v>Déchets en mélange</c:v>
                </c:pt>
              </c:strCache>
            </c:strRef>
          </c:tx>
          <c:spPr>
            <a:solidFill>
              <a:schemeClr val="tx2">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Synthèse!$F$246:$G$246</c:f>
              <c:numCache>
                <c:formatCode>General</c:formatCode>
                <c:ptCount val="2"/>
                <c:pt idx="0">
                  <c:v>2019</c:v>
                </c:pt>
                <c:pt idx="1">
                  <c:v>2020</c:v>
                </c:pt>
              </c:numCache>
            </c:numRef>
          </c:cat>
          <c:val>
            <c:numRef>
              <c:f>Synthèse!$F$247:$G$247</c:f>
              <c:numCache>
                <c:formatCode>#\ ###\ ##0_-\t</c:formatCode>
                <c:ptCount val="2"/>
                <c:pt idx="0">
                  <c:v>26824.86</c:v>
                </c:pt>
                <c:pt idx="1">
                  <c:v>31985.200000000001</c:v>
                </c:pt>
              </c:numCache>
            </c:numRef>
          </c:val>
          <c:extLst>
            <c:ext xmlns:c16="http://schemas.microsoft.com/office/drawing/2014/chart" uri="{C3380CC4-5D6E-409C-BE32-E72D297353CC}">
              <c16:uniqueId val="{00000000-18F3-48D2-BC40-4C2C7D60B7D3}"/>
            </c:ext>
          </c:extLst>
        </c:ser>
        <c:ser>
          <c:idx val="1"/>
          <c:order val="1"/>
          <c:tx>
            <c:strRef>
              <c:f>Synthèse!$E$248</c:f>
              <c:strCache>
                <c:ptCount val="1"/>
                <c:pt idx="0">
                  <c:v>Verre</c:v>
                </c:pt>
              </c:strCache>
            </c:strRef>
          </c:tx>
          <c:spPr>
            <a:solidFill>
              <a:schemeClr val="accent4"/>
            </a:solidFill>
            <a:ln>
              <a:noFill/>
            </a:ln>
            <a:effectLst/>
          </c:spPr>
          <c:invertIfNegative val="0"/>
          <c:dLbls>
            <c:delete val="1"/>
          </c:dLbls>
          <c:cat>
            <c:numRef>
              <c:f>Synthèse!$F$246:$G$246</c:f>
              <c:numCache>
                <c:formatCode>General</c:formatCode>
                <c:ptCount val="2"/>
                <c:pt idx="0">
                  <c:v>2019</c:v>
                </c:pt>
                <c:pt idx="1">
                  <c:v>2020</c:v>
                </c:pt>
              </c:numCache>
            </c:numRef>
          </c:cat>
          <c:val>
            <c:numRef>
              <c:f>Synthèse!$F$248:$G$248</c:f>
              <c:numCache>
                <c:formatCode>#\ ###\ ##0_-\t</c:formatCode>
                <c:ptCount val="2"/>
                <c:pt idx="0">
                  <c:v>0</c:v>
                </c:pt>
                <c:pt idx="1">
                  <c:v>0</c:v>
                </c:pt>
              </c:numCache>
            </c:numRef>
          </c:val>
          <c:extLst>
            <c:ext xmlns:c16="http://schemas.microsoft.com/office/drawing/2014/chart" uri="{C3380CC4-5D6E-409C-BE32-E72D297353CC}">
              <c16:uniqueId val="{00000003-18F3-48D2-BC40-4C2C7D60B7D3}"/>
            </c:ext>
          </c:extLst>
        </c:ser>
        <c:ser>
          <c:idx val="2"/>
          <c:order val="2"/>
          <c:tx>
            <c:strRef>
              <c:f>Synthèse!$E$249</c:f>
              <c:strCache>
                <c:ptCount val="1"/>
                <c:pt idx="0">
                  <c:v>Métaux</c:v>
                </c:pt>
              </c:strCache>
            </c:strRef>
          </c:tx>
          <c:spPr>
            <a:solidFill>
              <a:schemeClr val="tx2">
                <a:lumMod val="20000"/>
                <a:lumOff val="8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Synthèse!$F$246:$G$246</c:f>
              <c:numCache>
                <c:formatCode>General</c:formatCode>
                <c:ptCount val="2"/>
                <c:pt idx="0">
                  <c:v>2019</c:v>
                </c:pt>
                <c:pt idx="1">
                  <c:v>2020</c:v>
                </c:pt>
              </c:numCache>
            </c:numRef>
          </c:cat>
          <c:val>
            <c:numRef>
              <c:f>Synthèse!$F$249:$G$249</c:f>
              <c:numCache>
                <c:formatCode>#\ ###\ ##0_-\t</c:formatCode>
                <c:ptCount val="2"/>
                <c:pt idx="0">
                  <c:v>57826.650612437428</c:v>
                </c:pt>
                <c:pt idx="1">
                  <c:v>48591.069264875863</c:v>
                </c:pt>
              </c:numCache>
            </c:numRef>
          </c:val>
          <c:extLst>
            <c:ext xmlns:c16="http://schemas.microsoft.com/office/drawing/2014/chart" uri="{C3380CC4-5D6E-409C-BE32-E72D297353CC}">
              <c16:uniqueId val="{00000004-18F3-48D2-BC40-4C2C7D60B7D3}"/>
            </c:ext>
          </c:extLst>
        </c:ser>
        <c:ser>
          <c:idx val="3"/>
          <c:order val="3"/>
          <c:tx>
            <c:strRef>
              <c:f>Synthèse!$E$250</c:f>
              <c:strCache>
                <c:ptCount val="1"/>
                <c:pt idx="0">
                  <c:v>Plastique</c:v>
                </c:pt>
              </c:strCache>
            </c:strRef>
          </c:tx>
          <c:spPr>
            <a:solidFill>
              <a:srgbClr val="FFC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Synthèse!$F$246:$G$246</c:f>
              <c:numCache>
                <c:formatCode>General</c:formatCode>
                <c:ptCount val="2"/>
                <c:pt idx="0">
                  <c:v>2019</c:v>
                </c:pt>
                <c:pt idx="1">
                  <c:v>2020</c:v>
                </c:pt>
              </c:numCache>
            </c:numRef>
          </c:cat>
          <c:val>
            <c:numRef>
              <c:f>Synthèse!$F$250:$G$250</c:f>
              <c:numCache>
                <c:formatCode>#\ ###\ ##0_-\t</c:formatCode>
                <c:ptCount val="2"/>
                <c:pt idx="0">
                  <c:v>5754.731693658211</c:v>
                </c:pt>
                <c:pt idx="1">
                  <c:v>5007.3574695618217</c:v>
                </c:pt>
              </c:numCache>
            </c:numRef>
          </c:val>
          <c:extLst>
            <c:ext xmlns:c16="http://schemas.microsoft.com/office/drawing/2014/chart" uri="{C3380CC4-5D6E-409C-BE32-E72D297353CC}">
              <c16:uniqueId val="{00000005-18F3-48D2-BC40-4C2C7D60B7D3}"/>
            </c:ext>
          </c:extLst>
        </c:ser>
        <c:ser>
          <c:idx val="4"/>
          <c:order val="4"/>
          <c:tx>
            <c:strRef>
              <c:f>Synthèse!$E$251</c:f>
              <c:strCache>
                <c:ptCount val="1"/>
                <c:pt idx="0">
                  <c:v>Papiers et cartons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Synthèse!$F$246:$G$246</c:f>
              <c:numCache>
                <c:formatCode>General</c:formatCode>
                <c:ptCount val="2"/>
                <c:pt idx="0">
                  <c:v>2019</c:v>
                </c:pt>
                <c:pt idx="1">
                  <c:v>2020</c:v>
                </c:pt>
              </c:numCache>
            </c:numRef>
          </c:cat>
          <c:val>
            <c:numRef>
              <c:f>Synthèse!$F$251:$G$251</c:f>
              <c:numCache>
                <c:formatCode>#\ ###\ ##0_-\t</c:formatCode>
                <c:ptCount val="2"/>
                <c:pt idx="0">
                  <c:v>29984.735252343227</c:v>
                </c:pt>
                <c:pt idx="1">
                  <c:v>37345.715201518986</c:v>
                </c:pt>
              </c:numCache>
            </c:numRef>
          </c:val>
          <c:extLst>
            <c:ext xmlns:c16="http://schemas.microsoft.com/office/drawing/2014/chart" uri="{C3380CC4-5D6E-409C-BE32-E72D297353CC}">
              <c16:uniqueId val="{00000006-18F3-48D2-BC40-4C2C7D60B7D3}"/>
            </c:ext>
          </c:extLst>
        </c:ser>
        <c:ser>
          <c:idx val="5"/>
          <c:order val="5"/>
          <c:tx>
            <c:strRef>
              <c:f>Synthèse!$E$252</c:f>
              <c:strCache>
                <c:ptCount val="1"/>
                <c:pt idx="0">
                  <c:v>Textile et cuir</c:v>
                </c:pt>
              </c:strCache>
            </c:strRef>
          </c:tx>
          <c:spPr>
            <a:solidFill>
              <a:srgbClr val="7030A0"/>
            </a:solidFill>
            <a:ln>
              <a:noFill/>
            </a:ln>
            <a:effectLst/>
          </c:spPr>
          <c:invertIfNegative val="0"/>
          <c:dLbls>
            <c:dLbl>
              <c:idx val="0"/>
              <c:layout>
                <c:manualLayout>
                  <c:x val="-0.10226203305991753"/>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18F3-48D2-BC40-4C2C7D60B7D3}"/>
                </c:ext>
              </c:extLst>
            </c:dLbl>
            <c:dLbl>
              <c:idx val="1"/>
              <c:layout>
                <c:manualLayout>
                  <c:x val="-9.8111363764493642E-2"/>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18F3-48D2-BC40-4C2C7D60B7D3}"/>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rgbClr val="7030A0"/>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Synthèse!$F$246:$G$246</c:f>
              <c:numCache>
                <c:formatCode>General</c:formatCode>
                <c:ptCount val="2"/>
                <c:pt idx="0">
                  <c:v>2019</c:v>
                </c:pt>
                <c:pt idx="1">
                  <c:v>2020</c:v>
                </c:pt>
              </c:numCache>
            </c:numRef>
          </c:cat>
          <c:val>
            <c:numRef>
              <c:f>Synthèse!$F$252:$G$252</c:f>
              <c:numCache>
                <c:formatCode>#\ ###\ ##0_-\t</c:formatCode>
                <c:ptCount val="2"/>
                <c:pt idx="0">
                  <c:v>552.14</c:v>
                </c:pt>
                <c:pt idx="1">
                  <c:v>322.86</c:v>
                </c:pt>
              </c:numCache>
            </c:numRef>
          </c:val>
          <c:extLst>
            <c:ext xmlns:c16="http://schemas.microsoft.com/office/drawing/2014/chart" uri="{C3380CC4-5D6E-409C-BE32-E72D297353CC}">
              <c16:uniqueId val="{00000009-18F3-48D2-BC40-4C2C7D60B7D3}"/>
            </c:ext>
          </c:extLst>
        </c:ser>
        <c:ser>
          <c:idx val="6"/>
          <c:order val="6"/>
          <c:tx>
            <c:strRef>
              <c:f>Synthèse!$E$253</c:f>
              <c:strCache>
                <c:ptCount val="1"/>
                <c:pt idx="0">
                  <c:v>Caoutchouc</c:v>
                </c:pt>
              </c:strCache>
            </c:strRef>
          </c:tx>
          <c:spPr>
            <a:solidFill>
              <a:schemeClr val="tx1"/>
            </a:solidFill>
            <a:ln>
              <a:noFill/>
            </a:ln>
            <a:effectLst/>
          </c:spPr>
          <c:invertIfNegative val="0"/>
          <c:dLbls>
            <c:delete val="1"/>
          </c:dLbls>
          <c:cat>
            <c:numRef>
              <c:f>Synthèse!$F$246:$G$246</c:f>
              <c:numCache>
                <c:formatCode>General</c:formatCode>
                <c:ptCount val="2"/>
                <c:pt idx="0">
                  <c:v>2019</c:v>
                </c:pt>
                <c:pt idx="1">
                  <c:v>2020</c:v>
                </c:pt>
              </c:numCache>
            </c:numRef>
          </c:cat>
          <c:val>
            <c:numRef>
              <c:f>Synthèse!$F$253:$G$253</c:f>
              <c:numCache>
                <c:formatCode>#\ ###\ ##0_-\t</c:formatCode>
                <c:ptCount val="2"/>
                <c:pt idx="0">
                  <c:v>0</c:v>
                </c:pt>
                <c:pt idx="1">
                  <c:v>0</c:v>
                </c:pt>
              </c:numCache>
            </c:numRef>
          </c:val>
          <c:extLst>
            <c:ext xmlns:c16="http://schemas.microsoft.com/office/drawing/2014/chart" uri="{C3380CC4-5D6E-409C-BE32-E72D297353CC}">
              <c16:uniqueId val="{0000000C-18F3-48D2-BC40-4C2C7D60B7D3}"/>
            </c:ext>
          </c:extLst>
        </c:ser>
        <c:ser>
          <c:idx val="7"/>
          <c:order val="7"/>
          <c:tx>
            <c:strRef>
              <c:f>Synthèse!$E$254</c:f>
              <c:strCache>
                <c:ptCount val="1"/>
                <c:pt idx="0">
                  <c:v>Bois</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Synthèse!$F$246:$G$246</c:f>
              <c:numCache>
                <c:formatCode>General</c:formatCode>
                <c:ptCount val="2"/>
                <c:pt idx="0">
                  <c:v>2019</c:v>
                </c:pt>
                <c:pt idx="1">
                  <c:v>2020</c:v>
                </c:pt>
              </c:numCache>
            </c:numRef>
          </c:cat>
          <c:val>
            <c:numRef>
              <c:f>Synthèse!$F$254:$G$254</c:f>
              <c:numCache>
                <c:formatCode>#\ ###\ ##0_-\t</c:formatCode>
                <c:ptCount val="2"/>
                <c:pt idx="0">
                  <c:v>36123.615197901738</c:v>
                </c:pt>
                <c:pt idx="1">
                  <c:v>34093.523446124702</c:v>
                </c:pt>
              </c:numCache>
            </c:numRef>
          </c:val>
          <c:extLst>
            <c:ext xmlns:c16="http://schemas.microsoft.com/office/drawing/2014/chart" uri="{C3380CC4-5D6E-409C-BE32-E72D297353CC}">
              <c16:uniqueId val="{0000000D-18F3-48D2-BC40-4C2C7D60B7D3}"/>
            </c:ext>
          </c:extLst>
        </c:ser>
        <c:ser>
          <c:idx val="8"/>
          <c:order val="8"/>
          <c:tx>
            <c:strRef>
              <c:f>Synthèse!$E$255</c:f>
              <c:strCache>
                <c:ptCount val="1"/>
                <c:pt idx="0">
                  <c:v>Équipements hors d 'usage</c:v>
                </c:pt>
              </c:strCache>
            </c:strRef>
          </c:tx>
          <c:spPr>
            <a:solidFill>
              <a:schemeClr val="accent6"/>
            </a:solidFill>
            <a:ln>
              <a:noFill/>
            </a:ln>
            <a:effectLst/>
          </c:spPr>
          <c:invertIfNegative val="0"/>
          <c:dLbls>
            <c:delete val="1"/>
          </c:dLbls>
          <c:cat>
            <c:numRef>
              <c:f>Synthèse!$F$246:$G$246</c:f>
              <c:numCache>
                <c:formatCode>General</c:formatCode>
                <c:ptCount val="2"/>
                <c:pt idx="0">
                  <c:v>2019</c:v>
                </c:pt>
                <c:pt idx="1">
                  <c:v>2020</c:v>
                </c:pt>
              </c:numCache>
            </c:numRef>
          </c:cat>
          <c:val>
            <c:numRef>
              <c:f>Synthèse!$F$255:$G$255</c:f>
              <c:numCache>
                <c:formatCode>#\ ###\ ##0_-\t</c:formatCode>
                <c:ptCount val="2"/>
                <c:pt idx="0">
                  <c:v>0</c:v>
                </c:pt>
                <c:pt idx="1">
                  <c:v>0</c:v>
                </c:pt>
              </c:numCache>
            </c:numRef>
          </c:val>
          <c:extLst>
            <c:ext xmlns:c16="http://schemas.microsoft.com/office/drawing/2014/chart" uri="{C3380CC4-5D6E-409C-BE32-E72D297353CC}">
              <c16:uniqueId val="{00000010-18F3-48D2-BC40-4C2C7D60B7D3}"/>
            </c:ext>
          </c:extLst>
        </c:ser>
        <c:ser>
          <c:idx val="9"/>
          <c:order val="9"/>
          <c:tx>
            <c:strRef>
              <c:f>Synthèse!$E$256</c:f>
              <c:strCache>
                <c:ptCount val="1"/>
                <c:pt idx="0">
                  <c:v>Biodéchets</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Synthèse!$F$246:$G$246</c:f>
              <c:numCache>
                <c:formatCode>General</c:formatCode>
                <c:ptCount val="2"/>
                <c:pt idx="0">
                  <c:v>2019</c:v>
                </c:pt>
                <c:pt idx="1">
                  <c:v>2020</c:v>
                </c:pt>
              </c:numCache>
            </c:numRef>
          </c:cat>
          <c:val>
            <c:numRef>
              <c:f>Synthèse!$F$256:$G$256</c:f>
              <c:numCache>
                <c:formatCode>#\ ###\ ##0_-\t</c:formatCode>
                <c:ptCount val="2"/>
                <c:pt idx="0">
                  <c:v>8158.27</c:v>
                </c:pt>
                <c:pt idx="1">
                  <c:v>11131.45</c:v>
                </c:pt>
              </c:numCache>
            </c:numRef>
          </c:val>
          <c:extLst>
            <c:ext xmlns:c16="http://schemas.microsoft.com/office/drawing/2014/chart" uri="{C3380CC4-5D6E-409C-BE32-E72D297353CC}">
              <c16:uniqueId val="{00000011-18F3-48D2-BC40-4C2C7D60B7D3}"/>
            </c:ext>
          </c:extLst>
        </c:ser>
        <c:ser>
          <c:idx val="10"/>
          <c:order val="10"/>
          <c:tx>
            <c:strRef>
              <c:f>Synthèse!$E$257</c:f>
              <c:strCache>
                <c:ptCount val="1"/>
                <c:pt idx="0">
                  <c:v>Boues sèches</c:v>
                </c:pt>
              </c:strCache>
            </c:strRef>
          </c:tx>
          <c:spPr>
            <a:solidFill>
              <a:schemeClr val="accent5">
                <a:lumMod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Synthèse!$F$246:$G$246</c:f>
              <c:numCache>
                <c:formatCode>General</c:formatCode>
                <c:ptCount val="2"/>
                <c:pt idx="0">
                  <c:v>2019</c:v>
                </c:pt>
                <c:pt idx="1">
                  <c:v>2020</c:v>
                </c:pt>
              </c:numCache>
            </c:numRef>
          </c:cat>
          <c:val>
            <c:numRef>
              <c:f>Synthèse!$F$257:$G$257</c:f>
              <c:numCache>
                <c:formatCode>#\ ###\ ##0_-\t</c:formatCode>
                <c:ptCount val="2"/>
                <c:pt idx="0">
                  <c:v>13415.696819999999</c:v>
                </c:pt>
                <c:pt idx="1">
                  <c:v>17445.233499999998</c:v>
                </c:pt>
              </c:numCache>
            </c:numRef>
          </c:val>
          <c:extLst>
            <c:ext xmlns:c16="http://schemas.microsoft.com/office/drawing/2014/chart" uri="{C3380CC4-5D6E-409C-BE32-E72D297353CC}">
              <c16:uniqueId val="{00000012-18F3-48D2-BC40-4C2C7D60B7D3}"/>
            </c:ext>
          </c:extLst>
        </c:ser>
        <c:ser>
          <c:idx val="11"/>
          <c:order val="11"/>
          <c:tx>
            <c:strRef>
              <c:f>Synthèse!$E$258</c:f>
              <c:strCache>
                <c:ptCount val="1"/>
                <c:pt idx="0">
                  <c:v>Autres</c:v>
                </c:pt>
              </c:strCache>
            </c:strRef>
          </c:tx>
          <c:spPr>
            <a:solidFill>
              <a:schemeClr val="accent2"/>
            </a:solidFill>
            <a:ln>
              <a:noFill/>
            </a:ln>
            <a:effectLst/>
          </c:spPr>
          <c:invertIfNegative val="0"/>
          <c:dLbls>
            <c:delete val="1"/>
          </c:dLbls>
          <c:cat>
            <c:numRef>
              <c:f>Synthèse!$F$246:$G$246</c:f>
              <c:numCache>
                <c:formatCode>General</c:formatCode>
                <c:ptCount val="2"/>
                <c:pt idx="0">
                  <c:v>2019</c:v>
                </c:pt>
                <c:pt idx="1">
                  <c:v>2020</c:v>
                </c:pt>
              </c:numCache>
            </c:numRef>
          </c:cat>
          <c:val>
            <c:numRef>
              <c:f>Synthèse!$F$258:$G$258</c:f>
              <c:numCache>
                <c:formatCode>#\ ###\ ##0_-\t</c:formatCode>
                <c:ptCount val="2"/>
                <c:pt idx="0">
                  <c:v>0</c:v>
                </c:pt>
                <c:pt idx="1">
                  <c:v>0</c:v>
                </c:pt>
              </c:numCache>
            </c:numRef>
          </c:val>
          <c:extLst>
            <c:ext xmlns:c16="http://schemas.microsoft.com/office/drawing/2014/chart" uri="{C3380CC4-5D6E-409C-BE32-E72D297353CC}">
              <c16:uniqueId val="{00000015-18F3-48D2-BC40-4C2C7D60B7D3}"/>
            </c:ext>
          </c:extLst>
        </c:ser>
        <c:dLbls>
          <c:dLblPos val="ctr"/>
          <c:showLegendKey val="0"/>
          <c:showVal val="1"/>
          <c:showCatName val="0"/>
          <c:showSerName val="0"/>
          <c:showPercent val="0"/>
          <c:showBubbleSize val="0"/>
        </c:dLbls>
        <c:gapWidth val="150"/>
        <c:overlap val="100"/>
        <c:axId val="835747887"/>
        <c:axId val="835742063"/>
      </c:barChart>
      <c:lineChart>
        <c:grouping val="standard"/>
        <c:varyColors val="0"/>
        <c:ser>
          <c:idx val="12"/>
          <c:order val="12"/>
          <c:tx>
            <c:strRef>
              <c:f>Synthèse!$E$259</c:f>
              <c:strCache>
                <c:ptCount val="1"/>
                <c:pt idx="0">
                  <c:v>TOTAL</c:v>
                </c:pt>
              </c:strCache>
            </c:strRef>
          </c:tx>
          <c:spPr>
            <a:ln w="28575" cap="rnd">
              <a:noFill/>
              <a:round/>
            </a:ln>
            <a:effectLst/>
          </c:spPr>
          <c:marker>
            <c:symbol val="none"/>
          </c:marker>
          <c:dLbls>
            <c:spPr>
              <a:solidFill>
                <a:schemeClr val="bg1">
                  <a:lumMod val="95000"/>
                </a:schemeClr>
              </a:solid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fr-FR"/>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Synthèse!$F$246:$G$246</c:f>
              <c:numCache>
                <c:formatCode>General</c:formatCode>
                <c:ptCount val="2"/>
                <c:pt idx="0">
                  <c:v>2019</c:v>
                </c:pt>
                <c:pt idx="1">
                  <c:v>2020</c:v>
                </c:pt>
              </c:numCache>
            </c:numRef>
          </c:cat>
          <c:val>
            <c:numRef>
              <c:f>Synthèse!$F$259:$G$259</c:f>
              <c:numCache>
                <c:formatCode>#\ ###\ ##0_-\t</c:formatCode>
                <c:ptCount val="2"/>
                <c:pt idx="0">
                  <c:v>178640.69957634062</c:v>
                </c:pt>
                <c:pt idx="1">
                  <c:v>185922.40888208139</c:v>
                </c:pt>
              </c:numCache>
            </c:numRef>
          </c:val>
          <c:smooth val="0"/>
          <c:extLst>
            <c:ext xmlns:c16="http://schemas.microsoft.com/office/drawing/2014/chart" uri="{C3380CC4-5D6E-409C-BE32-E72D297353CC}">
              <c16:uniqueId val="{00000016-18F3-48D2-BC40-4C2C7D60B7D3}"/>
            </c:ext>
          </c:extLst>
        </c:ser>
        <c:dLbls>
          <c:dLblPos val="ctr"/>
          <c:showLegendKey val="0"/>
          <c:showVal val="1"/>
          <c:showCatName val="0"/>
          <c:showSerName val="0"/>
          <c:showPercent val="0"/>
          <c:showBubbleSize val="0"/>
        </c:dLbls>
        <c:marker val="1"/>
        <c:smooth val="0"/>
        <c:axId val="835747887"/>
        <c:axId val="835742063"/>
      </c:lineChart>
      <c:catAx>
        <c:axId val="83574788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fr-FR"/>
          </a:p>
        </c:txPr>
        <c:crossAx val="835742063"/>
        <c:crosses val="autoZero"/>
        <c:auto val="1"/>
        <c:lblAlgn val="ctr"/>
        <c:lblOffset val="100"/>
        <c:noMultiLvlLbl val="0"/>
      </c:catAx>
      <c:valAx>
        <c:axId val="835742063"/>
        <c:scaling>
          <c:orientation val="minMax"/>
        </c:scaling>
        <c:delete val="0"/>
        <c:axPos val="l"/>
        <c:majorGridlines>
          <c:spPr>
            <a:ln w="9525" cap="flat" cmpd="sng" algn="ctr">
              <a:solidFill>
                <a:schemeClr val="tx1">
                  <a:lumMod val="15000"/>
                  <a:lumOff val="85000"/>
                </a:schemeClr>
              </a:solidFill>
              <a:round/>
            </a:ln>
            <a:effectLst/>
          </c:spPr>
        </c:majorGridlines>
        <c:numFmt formatCode="#\ ###\ ##0_-\t"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fr-FR"/>
          </a:p>
        </c:txPr>
        <c:crossAx val="835747887"/>
        <c:crosses val="autoZero"/>
        <c:crossBetween val="between"/>
      </c:valAx>
      <c:spPr>
        <a:noFill/>
        <a:ln>
          <a:noFill/>
        </a:ln>
        <a:effectLst/>
      </c:spPr>
    </c:plotArea>
    <c:legend>
      <c:legendPos val="r"/>
      <c:legendEntry>
        <c:idx val="0"/>
        <c:delete val="1"/>
      </c:legendEntry>
      <c:legendEntry>
        <c:idx val="3"/>
        <c:delete val="1"/>
      </c:legendEntry>
      <c:legendEntry>
        <c:idx val="5"/>
        <c:delete val="1"/>
      </c:legendEntry>
      <c:legendEntry>
        <c:idx val="10"/>
        <c:delete val="1"/>
      </c:legendEntry>
      <c:legendEntry>
        <c:idx val="12"/>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000"/>
      </a:pPr>
      <a:endParaRPr lang="fr-FR"/>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strRef>
          <c:f>Synthèse!$A$291</c:f>
          <c:strCache>
            <c:ptCount val="1"/>
            <c:pt idx="0">
              <c:v>Tonnages de DAEndni traités 2020 par type de déchets - Vosges</c:v>
            </c:pt>
          </c:strCache>
        </c:strRef>
      </c:tx>
      <c:overlay val="0"/>
      <c:spPr>
        <a:noFill/>
        <a:ln>
          <a:noFill/>
        </a:ln>
        <a:effectLst/>
      </c:spPr>
      <c:txPr>
        <a:bodyPr rot="0" spcFirstLastPara="1" vertOverflow="ellipsis" vert="horz" wrap="square" anchor="ctr" anchorCtr="1"/>
        <a:lstStyle/>
        <a:p>
          <a:pPr>
            <a:defRPr sz="1000" b="1"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manualLayout>
          <c:layoutTarget val="inner"/>
          <c:xMode val="edge"/>
          <c:yMode val="edge"/>
          <c:x val="0.12982623102550378"/>
          <c:y val="0.17162305345155315"/>
          <c:w val="0.82209165499378012"/>
          <c:h val="0.37851974964524421"/>
        </c:manualLayout>
      </c:layout>
      <c:barChart>
        <c:barDir val="bar"/>
        <c:grouping val="percentStacked"/>
        <c:varyColors val="0"/>
        <c:ser>
          <c:idx val="0"/>
          <c:order val="0"/>
          <c:tx>
            <c:strRef>
              <c:f>Synthèse!$E$293</c:f>
              <c:strCache>
                <c:ptCount val="1"/>
                <c:pt idx="0">
                  <c:v>Déchets en mélange</c:v>
                </c:pt>
              </c:strCache>
            </c:strRef>
          </c:tx>
          <c:spPr>
            <a:solidFill>
              <a:schemeClr val="tx2">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Synthèse!$H$292:$I$292</c:f>
              <c:strCache>
                <c:ptCount val="2"/>
                <c:pt idx="0">
                  <c:v>Vosges</c:v>
                </c:pt>
                <c:pt idx="1">
                  <c:v>Grand Est</c:v>
                </c:pt>
              </c:strCache>
            </c:strRef>
          </c:cat>
          <c:val>
            <c:numRef>
              <c:f>Synthèse!$H$293:$I$293</c:f>
              <c:numCache>
                <c:formatCode>0%</c:formatCode>
                <c:ptCount val="2"/>
                <c:pt idx="0">
                  <c:v>0.15993281647022983</c:v>
                </c:pt>
                <c:pt idx="1">
                  <c:v>0.30092784007496592</c:v>
                </c:pt>
              </c:numCache>
            </c:numRef>
          </c:val>
          <c:extLst>
            <c:ext xmlns:c16="http://schemas.microsoft.com/office/drawing/2014/chart" uri="{C3380CC4-5D6E-409C-BE32-E72D297353CC}">
              <c16:uniqueId val="{00000000-2C03-4697-9C9E-1F2B77C95723}"/>
            </c:ext>
          </c:extLst>
        </c:ser>
        <c:ser>
          <c:idx val="1"/>
          <c:order val="1"/>
          <c:tx>
            <c:strRef>
              <c:f>Synthèse!$E$294</c:f>
              <c:strCache>
                <c:ptCount val="1"/>
                <c:pt idx="0">
                  <c:v>Verre</c:v>
                </c:pt>
              </c:strCache>
            </c:strRef>
          </c:tx>
          <c:spPr>
            <a:solidFill>
              <a:schemeClr val="accent4"/>
            </a:solidFill>
            <a:ln>
              <a:noFill/>
            </a:ln>
            <a:effectLst/>
          </c:spPr>
          <c:invertIfNegative val="0"/>
          <c:dLbls>
            <c:delete val="1"/>
          </c:dLbls>
          <c:cat>
            <c:strRef>
              <c:f>Synthèse!$H$292:$I$292</c:f>
              <c:strCache>
                <c:ptCount val="2"/>
                <c:pt idx="0">
                  <c:v>Vosges</c:v>
                </c:pt>
                <c:pt idx="1">
                  <c:v>Grand Est</c:v>
                </c:pt>
              </c:strCache>
            </c:strRef>
          </c:cat>
          <c:val>
            <c:numRef>
              <c:f>Synthèse!$H$294:$I$294</c:f>
              <c:numCache>
                <c:formatCode>0%</c:formatCode>
                <c:ptCount val="2"/>
                <c:pt idx="0">
                  <c:v>1.0029790704777306E-3</c:v>
                </c:pt>
                <c:pt idx="1">
                  <c:v>2.0882025063563439E-3</c:v>
                </c:pt>
              </c:numCache>
            </c:numRef>
          </c:val>
          <c:extLst>
            <c:ext xmlns:c16="http://schemas.microsoft.com/office/drawing/2014/chart" uri="{C3380CC4-5D6E-409C-BE32-E72D297353CC}">
              <c16:uniqueId val="{00000001-2C03-4697-9C9E-1F2B77C95723}"/>
            </c:ext>
          </c:extLst>
        </c:ser>
        <c:ser>
          <c:idx val="2"/>
          <c:order val="2"/>
          <c:tx>
            <c:strRef>
              <c:f>Synthèse!$E$295</c:f>
              <c:strCache>
                <c:ptCount val="1"/>
                <c:pt idx="0">
                  <c:v>Métaux</c:v>
                </c:pt>
              </c:strCache>
            </c:strRef>
          </c:tx>
          <c:spPr>
            <a:solidFill>
              <a:schemeClr val="tx2">
                <a:lumMod val="20000"/>
                <a:lumOff val="8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Synthèse!$H$292:$I$292</c:f>
              <c:strCache>
                <c:ptCount val="2"/>
                <c:pt idx="0">
                  <c:v>Vosges</c:v>
                </c:pt>
                <c:pt idx="1">
                  <c:v>Grand Est</c:v>
                </c:pt>
              </c:strCache>
            </c:strRef>
          </c:cat>
          <c:val>
            <c:numRef>
              <c:f>Synthèse!$H$295:$I$295</c:f>
              <c:numCache>
                <c:formatCode>0%</c:formatCode>
                <c:ptCount val="2"/>
                <c:pt idx="0">
                  <c:v>0.24331754271985204</c:v>
                </c:pt>
                <c:pt idx="1">
                  <c:v>0.27860710994632615</c:v>
                </c:pt>
              </c:numCache>
            </c:numRef>
          </c:val>
          <c:extLst>
            <c:ext xmlns:c16="http://schemas.microsoft.com/office/drawing/2014/chart" uri="{C3380CC4-5D6E-409C-BE32-E72D297353CC}">
              <c16:uniqueId val="{00000002-2C03-4697-9C9E-1F2B77C95723}"/>
            </c:ext>
          </c:extLst>
        </c:ser>
        <c:ser>
          <c:idx val="3"/>
          <c:order val="3"/>
          <c:tx>
            <c:strRef>
              <c:f>Synthèse!$E$296</c:f>
              <c:strCache>
                <c:ptCount val="1"/>
                <c:pt idx="0">
                  <c:v>Plastique</c:v>
                </c:pt>
              </c:strCache>
            </c:strRef>
          </c:tx>
          <c:spPr>
            <a:solidFill>
              <a:srgbClr val="FFC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Synthèse!$H$292:$I$292</c:f>
              <c:strCache>
                <c:ptCount val="2"/>
                <c:pt idx="0">
                  <c:v>Vosges</c:v>
                </c:pt>
                <c:pt idx="1">
                  <c:v>Grand Est</c:v>
                </c:pt>
              </c:strCache>
            </c:strRef>
          </c:cat>
          <c:val>
            <c:numRef>
              <c:f>Synthèse!$H$296:$I$296</c:f>
              <c:numCache>
                <c:formatCode>0%</c:formatCode>
                <c:ptCount val="2"/>
                <c:pt idx="0">
                  <c:v>2.5260640230072014E-2</c:v>
                </c:pt>
                <c:pt idx="1">
                  <c:v>2.5519129704480135E-2</c:v>
                </c:pt>
              </c:numCache>
            </c:numRef>
          </c:val>
          <c:extLst>
            <c:ext xmlns:c16="http://schemas.microsoft.com/office/drawing/2014/chart" uri="{C3380CC4-5D6E-409C-BE32-E72D297353CC}">
              <c16:uniqueId val="{00000003-2C03-4697-9C9E-1F2B77C95723}"/>
            </c:ext>
          </c:extLst>
        </c:ser>
        <c:ser>
          <c:idx val="4"/>
          <c:order val="4"/>
          <c:tx>
            <c:strRef>
              <c:f>Synthèse!$E$297</c:f>
              <c:strCache>
                <c:ptCount val="1"/>
                <c:pt idx="0">
                  <c:v>Papiers et cartons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Synthèse!$H$292:$I$292</c:f>
              <c:strCache>
                <c:ptCount val="2"/>
                <c:pt idx="0">
                  <c:v>Vosges</c:v>
                </c:pt>
                <c:pt idx="1">
                  <c:v>Grand Est</c:v>
                </c:pt>
              </c:strCache>
            </c:strRef>
          </c:cat>
          <c:val>
            <c:numRef>
              <c:f>Synthèse!$H$297:$I$297</c:f>
              <c:numCache>
                <c:formatCode>0%</c:formatCode>
                <c:ptCount val="2"/>
                <c:pt idx="0">
                  <c:v>0.18781873154355921</c:v>
                </c:pt>
                <c:pt idx="1">
                  <c:v>0.14174035736171606</c:v>
                </c:pt>
              </c:numCache>
            </c:numRef>
          </c:val>
          <c:extLst>
            <c:ext xmlns:c16="http://schemas.microsoft.com/office/drawing/2014/chart" uri="{C3380CC4-5D6E-409C-BE32-E72D297353CC}">
              <c16:uniqueId val="{00000004-2C03-4697-9C9E-1F2B77C95723}"/>
            </c:ext>
          </c:extLst>
        </c:ser>
        <c:ser>
          <c:idx val="7"/>
          <c:order val="7"/>
          <c:tx>
            <c:strRef>
              <c:f>Synthèse!$E$300</c:f>
              <c:strCache>
                <c:ptCount val="1"/>
                <c:pt idx="0">
                  <c:v>Bois</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Synthèse!$H$292:$I$292</c:f>
              <c:strCache>
                <c:ptCount val="2"/>
                <c:pt idx="0">
                  <c:v>Vosges</c:v>
                </c:pt>
                <c:pt idx="1">
                  <c:v>Grand Est</c:v>
                </c:pt>
              </c:strCache>
            </c:strRef>
          </c:cat>
          <c:val>
            <c:numRef>
              <c:f>Synthèse!$H$300:$I$300</c:f>
              <c:numCache>
                <c:formatCode>0%</c:formatCode>
                <c:ptCount val="2"/>
                <c:pt idx="0">
                  <c:v>0.18613712006354347</c:v>
                </c:pt>
                <c:pt idx="1">
                  <c:v>0.11503386315925113</c:v>
                </c:pt>
              </c:numCache>
            </c:numRef>
          </c:val>
          <c:extLst>
            <c:ext xmlns:c16="http://schemas.microsoft.com/office/drawing/2014/chart" uri="{C3380CC4-5D6E-409C-BE32-E72D297353CC}">
              <c16:uniqueId val="{00000005-2C03-4697-9C9E-1F2B77C95723}"/>
            </c:ext>
          </c:extLst>
        </c:ser>
        <c:ser>
          <c:idx val="8"/>
          <c:order val="8"/>
          <c:tx>
            <c:strRef>
              <c:f>Synthèse!$E$301</c:f>
              <c:strCache>
                <c:ptCount val="1"/>
                <c:pt idx="0">
                  <c:v>Équipements hors d 'usage</c:v>
                </c:pt>
              </c:strCache>
            </c:strRef>
          </c:tx>
          <c:spPr>
            <a:solidFill>
              <a:schemeClr val="accent6"/>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6-2C03-4697-9C9E-1F2B77C95723}"/>
                </c:ext>
              </c:extLst>
            </c:dLbl>
            <c:dLbl>
              <c:idx val="1"/>
              <c:layout>
                <c:manualLayout>
                  <c:x val="0"/>
                  <c:y val="8.3486789612468457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6"/>
                      </a:solidFill>
                      <a:latin typeface="+mn-lt"/>
                      <a:ea typeface="+mn-ea"/>
                      <a:cs typeface="+mn-cs"/>
                    </a:defRPr>
                  </a:pPr>
                  <a:endParaRPr lang="fr-FR"/>
                </a:p>
              </c:txPr>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2C03-4697-9C9E-1F2B77C95723}"/>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Synthèse!$H$292:$I$292</c:f>
              <c:strCache>
                <c:ptCount val="2"/>
                <c:pt idx="0">
                  <c:v>Vosges</c:v>
                </c:pt>
                <c:pt idx="1">
                  <c:v>Grand Est</c:v>
                </c:pt>
              </c:strCache>
            </c:strRef>
          </c:cat>
          <c:val>
            <c:numRef>
              <c:f>Synthèse!$H$301:$I$301</c:f>
              <c:numCache>
                <c:formatCode>0.0%</c:formatCode>
                <c:ptCount val="2"/>
                <c:pt idx="0">
                  <c:v>0</c:v>
                </c:pt>
                <c:pt idx="1">
                  <c:v>2.543300517086029E-3</c:v>
                </c:pt>
              </c:numCache>
            </c:numRef>
          </c:val>
          <c:extLst>
            <c:ext xmlns:c16="http://schemas.microsoft.com/office/drawing/2014/chart" uri="{C3380CC4-5D6E-409C-BE32-E72D297353CC}">
              <c16:uniqueId val="{00000008-2C03-4697-9C9E-1F2B77C95723}"/>
            </c:ext>
          </c:extLst>
        </c:ser>
        <c:ser>
          <c:idx val="9"/>
          <c:order val="9"/>
          <c:tx>
            <c:strRef>
              <c:f>Synthèse!$E$302</c:f>
              <c:strCache>
                <c:ptCount val="1"/>
                <c:pt idx="0">
                  <c:v>Biodéchets</c:v>
                </c:pt>
              </c:strCache>
            </c:strRef>
          </c:tx>
          <c:spPr>
            <a:solidFill>
              <a:srgbClr val="92D0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Synthèse!$H$292:$I$292</c:f>
              <c:strCache>
                <c:ptCount val="2"/>
                <c:pt idx="0">
                  <c:v>Vosges</c:v>
                </c:pt>
                <c:pt idx="1">
                  <c:v>Grand Est</c:v>
                </c:pt>
              </c:strCache>
            </c:strRef>
          </c:cat>
          <c:val>
            <c:numRef>
              <c:f>Synthèse!$H$302:$I$302</c:f>
              <c:numCache>
                <c:formatCode>0%</c:formatCode>
                <c:ptCount val="2"/>
                <c:pt idx="0">
                  <c:v>5.914072440693937E-2</c:v>
                </c:pt>
                <c:pt idx="1">
                  <c:v>9.1441798988988202E-2</c:v>
                </c:pt>
              </c:numCache>
            </c:numRef>
          </c:val>
          <c:extLst>
            <c:ext xmlns:c16="http://schemas.microsoft.com/office/drawing/2014/chart" uri="{C3380CC4-5D6E-409C-BE32-E72D297353CC}">
              <c16:uniqueId val="{00000009-2C03-4697-9C9E-1F2B77C95723}"/>
            </c:ext>
          </c:extLst>
        </c:ser>
        <c:ser>
          <c:idx val="10"/>
          <c:order val="10"/>
          <c:tx>
            <c:strRef>
              <c:f>Synthèse!$E$303</c:f>
              <c:strCache>
                <c:ptCount val="1"/>
                <c:pt idx="0">
                  <c:v>Boues sèches</c:v>
                </c:pt>
              </c:strCache>
            </c:strRef>
          </c:tx>
          <c:spPr>
            <a:solidFill>
              <a:schemeClr val="accent5">
                <a:lumMod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Synthèse!$H$292:$I$292</c:f>
              <c:strCache>
                <c:ptCount val="2"/>
                <c:pt idx="0">
                  <c:v>Vosges</c:v>
                </c:pt>
                <c:pt idx="1">
                  <c:v>Grand Est</c:v>
                </c:pt>
              </c:strCache>
            </c:strRef>
          </c:cat>
          <c:val>
            <c:numRef>
              <c:f>Synthèse!$H$303:$I$303</c:f>
              <c:numCache>
                <c:formatCode>0%</c:formatCode>
                <c:ptCount val="2"/>
                <c:pt idx="0">
                  <c:v>0.13577160312738487</c:v>
                </c:pt>
                <c:pt idx="1">
                  <c:v>3.9962148598354293E-2</c:v>
                </c:pt>
              </c:numCache>
            </c:numRef>
          </c:val>
          <c:extLst>
            <c:ext xmlns:c16="http://schemas.microsoft.com/office/drawing/2014/chart" uri="{C3380CC4-5D6E-409C-BE32-E72D297353CC}">
              <c16:uniqueId val="{0000000A-2C03-4697-9C9E-1F2B77C95723}"/>
            </c:ext>
          </c:extLst>
        </c:ser>
        <c:ser>
          <c:idx val="11"/>
          <c:order val="11"/>
          <c:tx>
            <c:strRef>
              <c:f>Synthèse!$E$304</c:f>
              <c:strCache>
                <c:ptCount val="1"/>
                <c:pt idx="0">
                  <c:v>Autres</c:v>
                </c:pt>
              </c:strCache>
            </c:strRef>
          </c:tx>
          <c:spPr>
            <a:solidFill>
              <a:schemeClr val="accent2"/>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B-2C03-4697-9C9E-1F2B77C95723}"/>
                </c:ext>
              </c:extLst>
            </c:dLbl>
            <c:dLbl>
              <c:idx val="1"/>
              <c:layout>
                <c:manualLayout>
                  <c:x val="0"/>
                  <c:y val="8.3486789612468457E-2"/>
                </c:manualLayout>
              </c:layout>
              <c:numFmt formatCode="0.0%"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2"/>
                      </a:solidFill>
                      <a:latin typeface="+mn-lt"/>
                      <a:ea typeface="+mn-ea"/>
                      <a:cs typeface="+mn-cs"/>
                    </a:defRPr>
                  </a:pPr>
                  <a:endParaRPr lang="fr-FR"/>
                </a:p>
              </c:txPr>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2C03-4697-9C9E-1F2B77C95723}"/>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2"/>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Synthèse!$H$292:$I$292</c:f>
              <c:strCache>
                <c:ptCount val="2"/>
                <c:pt idx="0">
                  <c:v>Vosges</c:v>
                </c:pt>
                <c:pt idx="1">
                  <c:v>Grand Est</c:v>
                </c:pt>
              </c:strCache>
            </c:strRef>
          </c:cat>
          <c:val>
            <c:numRef>
              <c:f>Synthèse!$H$304:$I$304</c:f>
              <c:numCache>
                <c:formatCode>0.0%</c:formatCode>
                <c:ptCount val="2"/>
                <c:pt idx="0">
                  <c:v>0</c:v>
                </c:pt>
                <c:pt idx="1">
                  <c:v>7.9349061573827037E-4</c:v>
                </c:pt>
              </c:numCache>
            </c:numRef>
          </c:val>
          <c:extLst>
            <c:ext xmlns:c16="http://schemas.microsoft.com/office/drawing/2014/chart" uri="{C3380CC4-5D6E-409C-BE32-E72D297353CC}">
              <c16:uniqueId val="{0000000D-2C03-4697-9C9E-1F2B77C95723}"/>
            </c:ext>
          </c:extLst>
        </c:ser>
        <c:dLbls>
          <c:dLblPos val="ctr"/>
          <c:showLegendKey val="0"/>
          <c:showVal val="1"/>
          <c:showCatName val="0"/>
          <c:showSerName val="0"/>
          <c:showPercent val="0"/>
          <c:showBubbleSize val="0"/>
        </c:dLbls>
        <c:gapWidth val="100"/>
        <c:overlap val="100"/>
        <c:axId val="765395855"/>
        <c:axId val="765399183"/>
        <c:extLst>
          <c:ext xmlns:c15="http://schemas.microsoft.com/office/drawing/2012/chart" uri="{02D57815-91ED-43cb-92C2-25804820EDAC}">
            <c15:filteredBarSeries>
              <c15:ser>
                <c:idx val="5"/>
                <c:order val="5"/>
                <c:tx>
                  <c:strRef>
                    <c:extLst>
                      <c:ext uri="{02D57815-91ED-43cb-92C2-25804820EDAC}">
                        <c15:formulaRef>
                          <c15:sqref>Synthèse!$E$298</c15:sqref>
                        </c15:formulaRef>
                      </c:ext>
                    </c:extLst>
                    <c:strCache>
                      <c:ptCount val="1"/>
                      <c:pt idx="0">
                        <c:v>Textile et cuir</c:v>
                      </c:pt>
                    </c:strCache>
                  </c:strRef>
                </c:tx>
                <c:spPr>
                  <a:solidFill>
                    <a:srgbClr val="7030A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fr-FR"/>
                    </a:p>
                  </c:txPr>
                  <c:dLblPos val="ctr"/>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ormulaRef>
                          <c15:sqref>Synthèse!$H$292:$I$292</c15:sqref>
                        </c15:formulaRef>
                      </c:ext>
                    </c:extLst>
                    <c:strCache>
                      <c:ptCount val="2"/>
                      <c:pt idx="0">
                        <c:v>Vosges</c:v>
                      </c:pt>
                      <c:pt idx="1">
                        <c:v>Grand Est</c:v>
                      </c:pt>
                    </c:strCache>
                  </c:strRef>
                </c:cat>
                <c:val>
                  <c:numRef>
                    <c:extLst>
                      <c:ext uri="{02D57815-91ED-43cb-92C2-25804820EDAC}">
                        <c15:formulaRef>
                          <c15:sqref>Synthèse!$H$298:$I$298</c15:sqref>
                        </c15:formulaRef>
                      </c:ext>
                    </c:extLst>
                    <c:numCache>
                      <c:formatCode>0.0%</c:formatCode>
                      <c:ptCount val="2"/>
                      <c:pt idx="0">
                        <c:v>1.6134840056063453E-3</c:v>
                      </c:pt>
                      <c:pt idx="1">
                        <c:v>5.8441155498226583E-4</c:v>
                      </c:pt>
                    </c:numCache>
                  </c:numRef>
                </c:val>
                <c:extLst>
                  <c:ext xmlns:c16="http://schemas.microsoft.com/office/drawing/2014/chart" uri="{C3380CC4-5D6E-409C-BE32-E72D297353CC}">
                    <c16:uniqueId val="{0000000E-2C03-4697-9C9E-1F2B77C95723}"/>
                  </c:ext>
                </c:extLst>
              </c15:ser>
            </c15:filteredBarSeries>
            <c15:filteredBarSeries>
              <c15:ser>
                <c:idx val="6"/>
                <c:order val="6"/>
                <c:tx>
                  <c:strRef>
                    <c:extLst xmlns:c15="http://schemas.microsoft.com/office/drawing/2012/chart">
                      <c:ext xmlns:c15="http://schemas.microsoft.com/office/drawing/2012/chart" uri="{02D57815-91ED-43cb-92C2-25804820EDAC}">
                        <c15:formulaRef>
                          <c15:sqref>Synthèse!$E$299</c15:sqref>
                        </c15:formulaRef>
                      </c:ext>
                    </c:extLst>
                    <c:strCache>
                      <c:ptCount val="1"/>
                      <c:pt idx="0">
                        <c:v>Caoutchouc</c:v>
                      </c:pt>
                    </c:strCache>
                  </c:strRef>
                </c:tx>
                <c:spPr>
                  <a:solidFill>
                    <a:schemeClr val="tx1"/>
                  </a:solidFill>
                  <a:ln>
                    <a:noFill/>
                  </a:ln>
                  <a:effectLst/>
                </c:spPr>
                <c:invertIfNegative val="0"/>
                <c:dLbls>
                  <c:dLbl>
                    <c:idx val="0"/>
                    <c:layout>
                      <c:manualLayout>
                        <c:x val="0"/>
                        <c:y val="7.8268865261689205E-2"/>
                      </c:manualLayout>
                    </c:layout>
                    <c:dLblPos val="ctr"/>
                    <c:showLegendKey val="0"/>
                    <c:showVal val="1"/>
                    <c:showCatName val="0"/>
                    <c:showSerName val="0"/>
                    <c:showPercent val="0"/>
                    <c:showBubbleSize val="0"/>
                    <c:extLst xmlns:c15="http://schemas.microsoft.com/office/drawing/2012/chart">
                      <c:ext xmlns:c15="http://schemas.microsoft.com/office/drawing/2012/chart" uri="{CE6537A1-D6FC-4f65-9D91-7224C49458BB}"/>
                      <c:ext xmlns:c16="http://schemas.microsoft.com/office/drawing/2014/chart" uri="{C3380CC4-5D6E-409C-BE32-E72D297353CC}">
                        <c16:uniqueId val="{0000000F-2C03-4697-9C9E-1F2B77C95723}"/>
                      </c:ext>
                    </c:extLst>
                  </c:dLbl>
                  <c:dLbl>
                    <c:idx val="1"/>
                    <c:layout>
                      <c:manualLayout>
                        <c:x val="0"/>
                        <c:y val="8.3486789612468457E-2"/>
                      </c:manualLayout>
                    </c:layout>
                    <c:dLblPos val="ctr"/>
                    <c:showLegendKey val="0"/>
                    <c:showVal val="1"/>
                    <c:showCatName val="0"/>
                    <c:showSerName val="0"/>
                    <c:showPercent val="0"/>
                    <c:showBubbleSize val="0"/>
                    <c:extLst xmlns:c15="http://schemas.microsoft.com/office/drawing/2012/chart">
                      <c:ext xmlns:c15="http://schemas.microsoft.com/office/drawing/2012/chart" uri="{CE6537A1-D6FC-4f65-9D91-7224C49458BB}"/>
                      <c:ext xmlns:c16="http://schemas.microsoft.com/office/drawing/2014/chart" uri="{C3380CC4-5D6E-409C-BE32-E72D297353CC}">
                        <c16:uniqueId val="{00000010-2C03-4697-9C9E-1F2B77C95723}"/>
                      </c:ext>
                    </c:extLst>
                  </c:dLbl>
                  <c:numFmt formatCode="0.00%"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mn-lt"/>
                          <a:ea typeface="+mn-ea"/>
                          <a:cs typeface="+mn-cs"/>
                        </a:defRPr>
                      </a:pPr>
                      <a:endParaRPr lang="fr-FR"/>
                    </a:p>
                  </c:txPr>
                  <c:dLblPos val="ct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Synthèse!$H$292:$I$292</c15:sqref>
                        </c15:formulaRef>
                      </c:ext>
                    </c:extLst>
                    <c:strCache>
                      <c:ptCount val="2"/>
                      <c:pt idx="0">
                        <c:v>Vosges</c:v>
                      </c:pt>
                      <c:pt idx="1">
                        <c:v>Grand Est</c:v>
                      </c:pt>
                    </c:strCache>
                  </c:strRef>
                </c:cat>
                <c:val>
                  <c:numRef>
                    <c:extLst xmlns:c15="http://schemas.microsoft.com/office/drawing/2012/chart">
                      <c:ext xmlns:c15="http://schemas.microsoft.com/office/drawing/2012/chart" uri="{02D57815-91ED-43cb-92C2-25804820EDAC}">
                        <c15:formulaRef>
                          <c15:sqref>Synthèse!$H$299:$I$299</c15:sqref>
                        </c15:formulaRef>
                      </c:ext>
                    </c:extLst>
                    <c:numCache>
                      <c:formatCode>0.0%</c:formatCode>
                      <c:ptCount val="2"/>
                      <c:pt idx="0">
                        <c:v>4.3583623351586263E-6</c:v>
                      </c:pt>
                      <c:pt idx="1">
                        <c:v>7.5834697175515119E-4</c:v>
                      </c:pt>
                    </c:numCache>
                  </c:numRef>
                </c:val>
                <c:extLst xmlns:c15="http://schemas.microsoft.com/office/drawing/2012/chart">
                  <c:ext xmlns:c16="http://schemas.microsoft.com/office/drawing/2014/chart" uri="{C3380CC4-5D6E-409C-BE32-E72D297353CC}">
                    <c16:uniqueId val="{00000011-2C03-4697-9C9E-1F2B77C95723}"/>
                  </c:ext>
                </c:extLst>
              </c15:ser>
            </c15:filteredBarSeries>
          </c:ext>
        </c:extLst>
      </c:barChart>
      <c:catAx>
        <c:axId val="765395855"/>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fr-FR"/>
          </a:p>
        </c:txPr>
        <c:crossAx val="765399183"/>
        <c:crosses val="autoZero"/>
        <c:auto val="1"/>
        <c:lblAlgn val="ctr"/>
        <c:lblOffset val="100"/>
        <c:noMultiLvlLbl val="0"/>
      </c:catAx>
      <c:valAx>
        <c:axId val="765399183"/>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fr-FR"/>
          </a:p>
        </c:txPr>
        <c:crossAx val="765395855"/>
        <c:crosses val="max"/>
        <c:crossBetween val="between"/>
      </c:valAx>
      <c:spPr>
        <a:noFill/>
        <a:ln>
          <a:noFill/>
        </a:ln>
        <a:effectLst/>
      </c:spPr>
    </c:plotArea>
    <c:legend>
      <c:legendPos val="b"/>
      <c:legendEntry>
        <c:idx val="1"/>
        <c:delete val="1"/>
      </c:legendEntry>
      <c:layout>
        <c:manualLayout>
          <c:xMode val="edge"/>
          <c:yMode val="edge"/>
          <c:x val="6.3717141327766486E-2"/>
          <c:y val="0.68786263753989041"/>
          <c:w val="0.87290111532665471"/>
          <c:h val="0.31213730139776413"/>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sz="1000"/>
      </a:pPr>
      <a:endParaRPr lang="fr-FR"/>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strRef>
          <c:f>Synthèse!$A$308</c:f>
          <c:strCache>
            <c:ptCount val="1"/>
            <c:pt idx="0">
              <c:v>Valorisation des tonnages de DAEndni traités 2020 - Vosges</c:v>
            </c:pt>
          </c:strCache>
        </c:strRef>
      </c:tx>
      <c:overlay val="0"/>
      <c:spPr>
        <a:noFill/>
        <a:ln>
          <a:noFill/>
        </a:ln>
        <a:effectLst/>
      </c:spPr>
      <c:txPr>
        <a:bodyPr rot="0" spcFirstLastPara="1" vertOverflow="ellipsis" vert="horz" wrap="square" anchor="ctr" anchorCtr="1"/>
        <a:lstStyle/>
        <a:p>
          <a:pPr>
            <a:defRPr sz="1000" b="1"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doughnutChart>
        <c:varyColors val="1"/>
        <c:ser>
          <c:idx val="0"/>
          <c:order val="0"/>
          <c:tx>
            <c:strRef>
              <c:f>Synthèse!$H$310</c:f>
              <c:strCache>
                <c:ptCount val="1"/>
                <c:pt idx="0">
                  <c:v>Vosges</c:v>
                </c:pt>
              </c:strCache>
            </c:strRef>
          </c:tx>
          <c:dPt>
            <c:idx val="0"/>
            <c:bubble3D val="0"/>
            <c:spPr>
              <a:solidFill>
                <a:srgbClr val="FFC000"/>
              </a:solidFill>
              <a:ln w="19050">
                <a:solidFill>
                  <a:schemeClr val="lt1"/>
                </a:solidFill>
              </a:ln>
              <a:effectLst/>
            </c:spPr>
            <c:extLst>
              <c:ext xmlns:c16="http://schemas.microsoft.com/office/drawing/2014/chart" uri="{C3380CC4-5D6E-409C-BE32-E72D297353CC}">
                <c16:uniqueId val="{00000001-09AE-44D0-90B3-64734E084431}"/>
              </c:ext>
            </c:extLst>
          </c:dPt>
          <c:dPt>
            <c:idx val="1"/>
            <c:bubble3D val="0"/>
            <c:spPr>
              <a:solidFill>
                <a:schemeClr val="accent4"/>
              </a:solidFill>
              <a:ln w="19050">
                <a:solidFill>
                  <a:schemeClr val="lt1"/>
                </a:solidFill>
              </a:ln>
              <a:effectLst/>
            </c:spPr>
            <c:extLst>
              <c:ext xmlns:c16="http://schemas.microsoft.com/office/drawing/2014/chart" uri="{C3380CC4-5D6E-409C-BE32-E72D297353CC}">
                <c16:uniqueId val="{00000003-09AE-44D0-90B3-64734E084431}"/>
              </c:ext>
            </c:extLst>
          </c:dPt>
          <c:dPt>
            <c:idx val="2"/>
            <c:bubble3D val="0"/>
            <c:spPr>
              <a:solidFill>
                <a:schemeClr val="accent6"/>
              </a:solidFill>
              <a:ln w="19050">
                <a:solidFill>
                  <a:schemeClr val="lt1"/>
                </a:solidFill>
              </a:ln>
              <a:effectLst/>
            </c:spPr>
            <c:extLst>
              <c:ext xmlns:c16="http://schemas.microsoft.com/office/drawing/2014/chart" uri="{C3380CC4-5D6E-409C-BE32-E72D297353CC}">
                <c16:uniqueId val="{00000005-09AE-44D0-90B3-64734E084431}"/>
              </c:ext>
            </c:extLst>
          </c:dPt>
          <c:dPt>
            <c:idx val="3"/>
            <c:bubble3D val="0"/>
            <c:spPr>
              <a:solidFill>
                <a:schemeClr val="tx2"/>
              </a:solidFill>
              <a:ln w="19050">
                <a:solidFill>
                  <a:schemeClr val="lt1"/>
                </a:solidFill>
              </a:ln>
              <a:effectLst/>
            </c:spPr>
            <c:extLst>
              <c:ext xmlns:c16="http://schemas.microsoft.com/office/drawing/2014/chart" uri="{C3380CC4-5D6E-409C-BE32-E72D297353CC}">
                <c16:uniqueId val="{00000007-09AE-44D0-90B3-64734E084431}"/>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2"/>
                      </a:solidFill>
                      <a:latin typeface="+mn-lt"/>
                      <a:ea typeface="+mn-ea"/>
                      <a:cs typeface="+mn-cs"/>
                    </a:defRPr>
                  </a:pPr>
                  <a:endParaRPr lang="fr-FR"/>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9AE-44D0-90B3-64734E084431}"/>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fr-FR"/>
              </a:p>
            </c:txPr>
            <c:showLegendKey val="0"/>
            <c:showVal val="1"/>
            <c:showCatName val="0"/>
            <c:showSerName val="0"/>
            <c:showPercent val="0"/>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Synthèse!$E$311:$E$314</c:f>
              <c:strCache>
                <c:ptCount val="4"/>
                <c:pt idx="0">
                  <c:v>Matière</c:v>
                </c:pt>
                <c:pt idx="1">
                  <c:v>Organique</c:v>
                </c:pt>
                <c:pt idx="2">
                  <c:v>Energétique</c:v>
                </c:pt>
                <c:pt idx="3">
                  <c:v>Autre/Elimination</c:v>
                </c:pt>
              </c:strCache>
            </c:strRef>
          </c:cat>
          <c:val>
            <c:numRef>
              <c:f>Synthèse!$H$311:$H$314</c:f>
              <c:numCache>
                <c:formatCode>0%</c:formatCode>
                <c:ptCount val="4"/>
                <c:pt idx="0">
                  <c:v>0.58405657145364465</c:v>
                </c:pt>
                <c:pt idx="1">
                  <c:v>0.12724102498415391</c:v>
                </c:pt>
                <c:pt idx="2">
                  <c:v>9.108937375617239E-2</c:v>
                </c:pt>
                <c:pt idx="3">
                  <c:v>0.19761302980602902</c:v>
                </c:pt>
              </c:numCache>
            </c:numRef>
          </c:val>
          <c:extLst>
            <c:ext xmlns:c16="http://schemas.microsoft.com/office/drawing/2014/chart" uri="{C3380CC4-5D6E-409C-BE32-E72D297353CC}">
              <c16:uniqueId val="{00000008-09AE-44D0-90B3-64734E084431}"/>
            </c:ext>
          </c:extLst>
        </c:ser>
        <c:dLbls>
          <c:showLegendKey val="0"/>
          <c:showVal val="1"/>
          <c:showCatName val="0"/>
          <c:showSerName val="0"/>
          <c:showPercent val="0"/>
          <c:showBubbleSize val="0"/>
          <c:showLeaderLines val="1"/>
        </c:dLbls>
        <c:firstSliceAng val="0"/>
        <c:holeSize val="40"/>
        <c:extLst>
          <c:ext xmlns:c15="http://schemas.microsoft.com/office/drawing/2012/chart" uri="{02D57815-91ED-43cb-92C2-25804820EDAC}">
            <c15:filteredPieSeries>
              <c15:ser>
                <c:idx val="1"/>
                <c:order val="1"/>
                <c:tx>
                  <c:strRef>
                    <c:extLst>
                      <c:ext uri="{02D57815-91ED-43cb-92C2-25804820EDAC}">
                        <c15:formulaRef>
                          <c15:sqref>Synthèse!$I$310</c15:sqref>
                        </c15:formulaRef>
                      </c:ext>
                    </c:extLst>
                    <c:strCache>
                      <c:ptCount val="1"/>
                      <c:pt idx="0">
                        <c:v>Grand Est</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A-09AE-44D0-90B3-64734E084431}"/>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C-09AE-44D0-90B3-64734E084431}"/>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E-09AE-44D0-90B3-64734E084431}"/>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10-09AE-44D0-90B3-64734E084431}"/>
                    </c:ext>
                  </c:extLst>
                </c:dPt>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endParaRPr lang="fr-FR"/>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uri="{CE6537A1-D6FC-4f65-9D91-7224C49458BB}"/>
                  </c:extLst>
                </c:dLbls>
                <c:cat>
                  <c:strRef>
                    <c:extLst>
                      <c:ext uri="{02D57815-91ED-43cb-92C2-25804820EDAC}">
                        <c15:formulaRef>
                          <c15:sqref>Synthèse!$E$311:$E$314</c15:sqref>
                        </c15:formulaRef>
                      </c:ext>
                    </c:extLst>
                    <c:strCache>
                      <c:ptCount val="4"/>
                      <c:pt idx="0">
                        <c:v>Matière</c:v>
                      </c:pt>
                      <c:pt idx="1">
                        <c:v>Organique</c:v>
                      </c:pt>
                      <c:pt idx="2">
                        <c:v>Energétique</c:v>
                      </c:pt>
                      <c:pt idx="3">
                        <c:v>Autre/Elimination</c:v>
                      </c:pt>
                    </c:strCache>
                  </c:strRef>
                </c:cat>
                <c:val>
                  <c:numRef>
                    <c:extLst>
                      <c:ext uri="{02D57815-91ED-43cb-92C2-25804820EDAC}">
                        <c15:formulaRef>
                          <c15:sqref>Synthèse!$I$311:$I$314</c15:sqref>
                        </c15:formulaRef>
                      </c:ext>
                    </c:extLst>
                    <c:numCache>
                      <c:formatCode>0%</c:formatCode>
                      <c:ptCount val="4"/>
                      <c:pt idx="0">
                        <c:v>0.58882588282602755</c:v>
                      </c:pt>
                      <c:pt idx="1">
                        <c:v>0.11068134432148338</c:v>
                      </c:pt>
                      <c:pt idx="2">
                        <c:v>9.9195044965964096E-2</c:v>
                      </c:pt>
                      <c:pt idx="3">
                        <c:v>0.20129772788652509</c:v>
                      </c:pt>
                    </c:numCache>
                  </c:numRef>
                </c:val>
                <c:extLst>
                  <c:ext xmlns:c16="http://schemas.microsoft.com/office/drawing/2014/chart" uri="{C3380CC4-5D6E-409C-BE32-E72D297353CC}">
                    <c16:uniqueId val="{00000011-09AE-44D0-90B3-64734E084431}"/>
                  </c:ext>
                </c:extLst>
              </c15:ser>
            </c15:filteredPieSeries>
          </c:ext>
        </c:extLst>
      </c:doughnutChart>
      <c:spPr>
        <a:noFill/>
        <a:ln>
          <a:noFill/>
        </a:ln>
        <a:effectLst/>
      </c:spPr>
    </c:plotArea>
    <c:legend>
      <c:legendPos val="b"/>
      <c:overlay val="0"/>
      <c:spPr>
        <a:noFill/>
        <a:ln>
          <a:no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sz="1000"/>
      </a:pPr>
      <a:endParaRPr lang="fr-FR"/>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strRef>
          <c:f>Synthèse!$A$309</c:f>
          <c:strCache>
            <c:ptCount val="1"/>
            <c:pt idx="0">
              <c:v>Valorisation des tonnages de DAEndni traités 2020 - Grand Est</c:v>
            </c:pt>
          </c:strCache>
        </c:strRef>
      </c:tx>
      <c:overlay val="0"/>
      <c:spPr>
        <a:noFill/>
        <a:ln>
          <a:noFill/>
        </a:ln>
        <a:effectLst/>
      </c:spPr>
      <c:txPr>
        <a:bodyPr rot="0" spcFirstLastPara="1" vertOverflow="ellipsis" vert="horz" wrap="square" anchor="ctr" anchorCtr="1"/>
        <a:lstStyle/>
        <a:p>
          <a:pPr>
            <a:defRPr sz="1000" b="1"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doughnutChart>
        <c:varyColors val="1"/>
        <c:ser>
          <c:idx val="1"/>
          <c:order val="1"/>
          <c:tx>
            <c:strRef>
              <c:f>Synthèse!$I$310</c:f>
              <c:strCache>
                <c:ptCount val="1"/>
                <c:pt idx="0">
                  <c:v>Grand Est</c:v>
                </c:pt>
              </c:strCache>
            </c:strRef>
          </c:tx>
          <c:dPt>
            <c:idx val="0"/>
            <c:bubble3D val="0"/>
            <c:spPr>
              <a:solidFill>
                <a:srgbClr val="FFC000"/>
              </a:solidFill>
              <a:ln w="19050">
                <a:solidFill>
                  <a:schemeClr val="lt1"/>
                </a:solidFill>
              </a:ln>
              <a:effectLst/>
            </c:spPr>
            <c:extLst xmlns:c15="http://schemas.microsoft.com/office/drawing/2012/chart">
              <c:ext xmlns:c16="http://schemas.microsoft.com/office/drawing/2014/chart" uri="{C3380CC4-5D6E-409C-BE32-E72D297353CC}">
                <c16:uniqueId val="{00000001-C3E7-4DDA-8014-F1587DEF55EB}"/>
              </c:ext>
            </c:extLst>
          </c:dPt>
          <c:dPt>
            <c:idx val="1"/>
            <c:bubble3D val="0"/>
            <c:spPr>
              <a:solidFill>
                <a:schemeClr val="accent4"/>
              </a:solidFill>
              <a:ln w="19050">
                <a:solidFill>
                  <a:schemeClr val="lt1"/>
                </a:solidFill>
              </a:ln>
              <a:effectLst/>
            </c:spPr>
            <c:extLst xmlns:c15="http://schemas.microsoft.com/office/drawing/2012/chart">
              <c:ext xmlns:c16="http://schemas.microsoft.com/office/drawing/2014/chart" uri="{C3380CC4-5D6E-409C-BE32-E72D297353CC}">
                <c16:uniqueId val="{00000003-C3E7-4DDA-8014-F1587DEF55EB}"/>
              </c:ext>
            </c:extLst>
          </c:dPt>
          <c:dPt>
            <c:idx val="2"/>
            <c:bubble3D val="0"/>
            <c:spPr>
              <a:solidFill>
                <a:schemeClr val="accent6"/>
              </a:solidFill>
              <a:ln w="19050">
                <a:solidFill>
                  <a:schemeClr val="lt1"/>
                </a:solidFill>
              </a:ln>
              <a:effectLst/>
            </c:spPr>
            <c:extLst xmlns:c15="http://schemas.microsoft.com/office/drawing/2012/chart">
              <c:ext xmlns:c16="http://schemas.microsoft.com/office/drawing/2014/chart" uri="{C3380CC4-5D6E-409C-BE32-E72D297353CC}">
                <c16:uniqueId val="{00000005-C3E7-4DDA-8014-F1587DEF55EB}"/>
              </c:ext>
            </c:extLst>
          </c:dPt>
          <c:dPt>
            <c:idx val="3"/>
            <c:bubble3D val="0"/>
            <c:spPr>
              <a:solidFill>
                <a:schemeClr val="tx2"/>
              </a:solidFill>
              <a:ln w="19050">
                <a:solidFill>
                  <a:schemeClr val="lt1"/>
                </a:solidFill>
              </a:ln>
              <a:effectLst/>
            </c:spPr>
            <c:extLst xmlns:c15="http://schemas.microsoft.com/office/drawing/2012/chart">
              <c:ext xmlns:c16="http://schemas.microsoft.com/office/drawing/2014/chart" uri="{C3380CC4-5D6E-409C-BE32-E72D297353CC}">
                <c16:uniqueId val="{00000007-C3E7-4DDA-8014-F1587DEF55EB}"/>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2"/>
                      </a:solidFill>
                      <a:latin typeface="+mn-lt"/>
                      <a:ea typeface="+mn-ea"/>
                      <a:cs typeface="+mn-cs"/>
                    </a:defRPr>
                  </a:pPr>
                  <a:endParaRPr lang="fr-FR"/>
                </a:p>
              </c:txPr>
              <c:showLegendKey val="0"/>
              <c:showVal val="1"/>
              <c:showCatName val="0"/>
              <c:showSerName val="0"/>
              <c:showPercent val="0"/>
              <c:showBubbleSize val="0"/>
              <c:extLst>
                <c:ext xmlns:c16="http://schemas.microsoft.com/office/drawing/2014/chart" uri="{C3380CC4-5D6E-409C-BE32-E72D297353CC}">
                  <c16:uniqueId val="{00000001-C3E7-4DDA-8014-F1587DEF55EB}"/>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fr-FR"/>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5="http://schemas.microsoft.com/office/drawing/2012/chart">
              <c:ext xmlns:c15="http://schemas.microsoft.com/office/drawing/2012/chart" uri="{CE6537A1-D6FC-4f65-9D91-7224C49458BB}"/>
            </c:extLst>
          </c:dLbls>
          <c:cat>
            <c:strRef>
              <c:f>Synthèse!$E$311:$E$314</c:f>
              <c:strCache>
                <c:ptCount val="4"/>
                <c:pt idx="0">
                  <c:v>Matière</c:v>
                </c:pt>
                <c:pt idx="1">
                  <c:v>Organique</c:v>
                </c:pt>
                <c:pt idx="2">
                  <c:v>Energétique</c:v>
                </c:pt>
                <c:pt idx="3">
                  <c:v>Autre/Elimination</c:v>
                </c:pt>
              </c:strCache>
            </c:strRef>
          </c:cat>
          <c:val>
            <c:numRef>
              <c:f>Synthèse!$I$311:$I$314</c:f>
              <c:numCache>
                <c:formatCode>0%</c:formatCode>
                <c:ptCount val="4"/>
                <c:pt idx="0">
                  <c:v>0.58882588282602755</c:v>
                </c:pt>
                <c:pt idx="1">
                  <c:v>0.11068134432148338</c:v>
                </c:pt>
                <c:pt idx="2">
                  <c:v>9.9195044965964096E-2</c:v>
                </c:pt>
                <c:pt idx="3">
                  <c:v>0.20129772788652509</c:v>
                </c:pt>
              </c:numCache>
            </c:numRef>
          </c:val>
          <c:extLst xmlns:c15="http://schemas.microsoft.com/office/drawing/2012/chart">
            <c:ext xmlns:c16="http://schemas.microsoft.com/office/drawing/2014/chart" uri="{C3380CC4-5D6E-409C-BE32-E72D297353CC}">
              <c16:uniqueId val="{00000008-C3E7-4DDA-8014-F1587DEF55EB}"/>
            </c:ext>
          </c:extLst>
        </c:ser>
        <c:dLbls>
          <c:showLegendKey val="0"/>
          <c:showVal val="1"/>
          <c:showCatName val="0"/>
          <c:showSerName val="0"/>
          <c:showPercent val="0"/>
          <c:showBubbleSize val="0"/>
          <c:showLeaderLines val="1"/>
        </c:dLbls>
        <c:firstSliceAng val="0"/>
        <c:holeSize val="40"/>
        <c:extLst>
          <c:ext xmlns:c15="http://schemas.microsoft.com/office/drawing/2012/chart" uri="{02D57815-91ED-43cb-92C2-25804820EDAC}">
            <c15:filteredPieSeries>
              <c15:ser>
                <c:idx val="0"/>
                <c:order val="0"/>
                <c:tx>
                  <c:strRef>
                    <c:extLst>
                      <c:ext uri="{02D57815-91ED-43cb-92C2-25804820EDAC}">
                        <c15:formulaRef>
                          <c15:sqref>Synthèse!$H$310</c15:sqref>
                        </c15:formulaRef>
                      </c:ext>
                    </c:extLst>
                    <c:strCache>
                      <c:ptCount val="1"/>
                      <c:pt idx="0">
                        <c:v>Ardennes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A-C3E7-4DDA-8014-F1587DEF55EB}"/>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C-C3E7-4DDA-8014-F1587DEF55EB}"/>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E-C3E7-4DDA-8014-F1587DEF55EB}"/>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10-C3E7-4DDA-8014-F1587DEF55EB}"/>
                    </c:ext>
                  </c:extLst>
                </c:dPt>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fr-FR"/>
                    </a:p>
                  </c:txPr>
                  <c:showLegendKey val="0"/>
                  <c:showVal val="1"/>
                  <c:showCatName val="0"/>
                  <c:showSerName val="0"/>
                  <c:showPercent val="0"/>
                  <c:showBubbleSize val="0"/>
                  <c:separator>
</c:separator>
                  <c:showLeaderLines val="1"/>
                  <c:leaderLines>
                    <c:spPr>
                      <a:ln w="9525" cap="flat" cmpd="sng" algn="ctr">
                        <a:solidFill>
                          <a:schemeClr val="tx1">
                            <a:lumMod val="35000"/>
                            <a:lumOff val="65000"/>
                          </a:schemeClr>
                        </a:solidFill>
                        <a:round/>
                      </a:ln>
                      <a:effectLst/>
                    </c:spPr>
                  </c:leaderLines>
                  <c:extLst>
                    <c:ext uri="{CE6537A1-D6FC-4f65-9D91-7224C49458BB}"/>
                  </c:extLst>
                </c:dLbls>
                <c:cat>
                  <c:strRef>
                    <c:extLst>
                      <c:ext uri="{02D57815-91ED-43cb-92C2-25804820EDAC}">
                        <c15:formulaRef>
                          <c15:sqref>Synthèse!$E$311:$E$314</c15:sqref>
                        </c15:formulaRef>
                      </c:ext>
                    </c:extLst>
                    <c:strCache>
                      <c:ptCount val="4"/>
                      <c:pt idx="0">
                        <c:v>Matière</c:v>
                      </c:pt>
                      <c:pt idx="1">
                        <c:v>Organique</c:v>
                      </c:pt>
                      <c:pt idx="2">
                        <c:v>Energétique</c:v>
                      </c:pt>
                      <c:pt idx="3">
                        <c:v>Autre/Elimination</c:v>
                      </c:pt>
                    </c:strCache>
                  </c:strRef>
                </c:cat>
                <c:val>
                  <c:numRef>
                    <c:extLst>
                      <c:ext uri="{02D57815-91ED-43cb-92C2-25804820EDAC}">
                        <c15:formulaRef>
                          <c15:sqref>Synthèse!$H$311:$H$314</c15:sqref>
                        </c15:formulaRef>
                      </c:ext>
                    </c:extLst>
                    <c:numCache>
                      <c:formatCode>0%</c:formatCode>
                      <c:ptCount val="4"/>
                      <c:pt idx="0">
                        <c:v>0.75917352244869674</c:v>
                      </c:pt>
                      <c:pt idx="1">
                        <c:v>7.1545410347263125E-3</c:v>
                      </c:pt>
                      <c:pt idx="2">
                        <c:v>3.3754205748227843E-2</c:v>
                      </c:pt>
                      <c:pt idx="3">
                        <c:v>0.19991773076834909</c:v>
                      </c:pt>
                    </c:numCache>
                  </c:numRef>
                </c:val>
                <c:extLst>
                  <c:ext xmlns:c16="http://schemas.microsoft.com/office/drawing/2014/chart" uri="{C3380CC4-5D6E-409C-BE32-E72D297353CC}">
                    <c16:uniqueId val="{00000011-C3E7-4DDA-8014-F1587DEF55EB}"/>
                  </c:ext>
                </c:extLst>
              </c15:ser>
            </c15:filteredPieSeries>
          </c:ext>
        </c:extLst>
      </c:doughnutChart>
      <c:spPr>
        <a:noFill/>
        <a:ln>
          <a:noFill/>
        </a:ln>
        <a:effectLst/>
      </c:spPr>
    </c:plotArea>
    <c:legend>
      <c:legendPos val="b"/>
      <c:overlay val="0"/>
      <c:spPr>
        <a:noFill/>
        <a:ln>
          <a:no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sz="1000"/>
      </a:pPr>
      <a:endParaRPr lang="fr-F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7FB61C2192424D9F9C50CE564523BB"/>
        <w:category>
          <w:name w:val="Général"/>
          <w:gallery w:val="placeholder"/>
        </w:category>
        <w:types>
          <w:type w:val="bbPlcHdr"/>
        </w:types>
        <w:behaviors>
          <w:behavior w:val="content"/>
        </w:behaviors>
        <w:guid w:val="{D60563E3-4DEA-4B44-BA80-BA56200FA03E}"/>
      </w:docPartPr>
      <w:docPartBody>
        <w:p w:rsidR="00B83D67" w:rsidRDefault="009E31E4" w:rsidP="009E31E4">
          <w:pPr>
            <w:pStyle w:val="F77FB61C2192424D9F9C50CE564523BB4"/>
          </w:pPr>
          <w:r w:rsidRPr="00E04E58">
            <w:rPr>
              <w:rStyle w:val="Textedelespacerserv"/>
              <w:sz w:val="24"/>
              <w:szCs w:val="24"/>
            </w:rPr>
            <w:t>Sous-titre</w:t>
          </w:r>
        </w:p>
      </w:docPartBody>
    </w:docPart>
    <w:docPart>
      <w:docPartPr>
        <w:name w:val="D13C07EBA75B48C497D9E7C0B1999B9C"/>
        <w:category>
          <w:name w:val="Général"/>
          <w:gallery w:val="placeholder"/>
        </w:category>
        <w:types>
          <w:type w:val="bbPlcHdr"/>
        </w:types>
        <w:behaviors>
          <w:behavior w:val="content"/>
        </w:behaviors>
        <w:guid w:val="{F6718AA5-0573-4648-9D78-808DB2E47F48}"/>
      </w:docPartPr>
      <w:docPartBody>
        <w:p w:rsidR="00C41AE3" w:rsidRDefault="009E31E4" w:rsidP="009E31E4">
          <w:pPr>
            <w:pStyle w:val="D13C07EBA75B48C497D9E7C0B1999B9C"/>
          </w:pPr>
          <w:r>
            <w:rPr>
              <w:rFonts w:asciiTheme="majorHAnsi" w:hAnsiTheme="majorHAnsi"/>
              <w:sz w:val="52"/>
              <w:szCs w:val="52"/>
            </w:rPr>
            <w:t>Titre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62F"/>
    <w:rsid w:val="00063304"/>
    <w:rsid w:val="0007763C"/>
    <w:rsid w:val="000F1CC1"/>
    <w:rsid w:val="00104A87"/>
    <w:rsid w:val="001A43D9"/>
    <w:rsid w:val="00227FFC"/>
    <w:rsid w:val="002C6E8B"/>
    <w:rsid w:val="002D219A"/>
    <w:rsid w:val="003568B5"/>
    <w:rsid w:val="0039162F"/>
    <w:rsid w:val="003A3775"/>
    <w:rsid w:val="004056E7"/>
    <w:rsid w:val="004663B8"/>
    <w:rsid w:val="004918CC"/>
    <w:rsid w:val="00491E50"/>
    <w:rsid w:val="004B467D"/>
    <w:rsid w:val="004E2839"/>
    <w:rsid w:val="00504DAD"/>
    <w:rsid w:val="005173B8"/>
    <w:rsid w:val="00522EDB"/>
    <w:rsid w:val="006E49BF"/>
    <w:rsid w:val="00736570"/>
    <w:rsid w:val="00761412"/>
    <w:rsid w:val="00770031"/>
    <w:rsid w:val="00782804"/>
    <w:rsid w:val="007A0BEC"/>
    <w:rsid w:val="008B3D4E"/>
    <w:rsid w:val="009E31E4"/>
    <w:rsid w:val="00AA6B6C"/>
    <w:rsid w:val="00AE2AB0"/>
    <w:rsid w:val="00AF2946"/>
    <w:rsid w:val="00B83D67"/>
    <w:rsid w:val="00B91218"/>
    <w:rsid w:val="00BE4967"/>
    <w:rsid w:val="00C00339"/>
    <w:rsid w:val="00C41AE3"/>
    <w:rsid w:val="00C900AD"/>
    <w:rsid w:val="00D10B7F"/>
    <w:rsid w:val="00DB45AC"/>
    <w:rsid w:val="00DF5DBD"/>
    <w:rsid w:val="00ED7709"/>
    <w:rsid w:val="00F44032"/>
    <w:rsid w:val="00F660F4"/>
    <w:rsid w:val="00FC360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5">
    <w:name w:val="heading 5"/>
    <w:basedOn w:val="Normal"/>
    <w:next w:val="Normal"/>
    <w:link w:val="Titre5Car"/>
    <w:uiPriority w:val="9"/>
    <w:unhideWhenUsed/>
    <w:qFormat/>
    <w:rsid w:val="0039162F"/>
    <w:pPr>
      <w:keepNext/>
      <w:keepLines/>
      <w:spacing w:before="40" w:after="0"/>
      <w:outlineLvl w:val="4"/>
    </w:pPr>
    <w:rPr>
      <w:rFonts w:asciiTheme="majorHAnsi" w:eastAsiaTheme="majorEastAsia" w:hAnsiTheme="majorHAnsi" w:cstheme="majorBidi"/>
      <w:color w:val="2F5496" w:themeColor="accent1" w:themeShade="BF"/>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9E31E4"/>
    <w:rPr>
      <w:color w:val="808080"/>
    </w:rPr>
  </w:style>
  <w:style w:type="character" w:customStyle="1" w:styleId="Titre5Car">
    <w:name w:val="Titre 5 Car"/>
    <w:basedOn w:val="Policepardfaut"/>
    <w:link w:val="Titre5"/>
    <w:uiPriority w:val="9"/>
    <w:rsid w:val="0039162F"/>
    <w:rPr>
      <w:rFonts w:asciiTheme="majorHAnsi" w:eastAsiaTheme="majorEastAsia" w:hAnsiTheme="majorHAnsi" w:cstheme="majorBidi"/>
      <w:color w:val="2F5496" w:themeColor="accent1" w:themeShade="BF"/>
      <w:lang w:eastAsia="en-US"/>
    </w:rPr>
  </w:style>
  <w:style w:type="paragraph" w:customStyle="1" w:styleId="F77FB61C2192424D9F9C50CE564523BB4">
    <w:name w:val="F77FB61C2192424D9F9C50CE564523BB4"/>
    <w:rsid w:val="009E31E4"/>
    <w:pPr>
      <w:spacing w:before="200" w:after="200"/>
      <w:jc w:val="both"/>
    </w:pPr>
    <w:rPr>
      <w:rFonts w:eastAsiaTheme="minorHAnsi"/>
      <w:color w:val="44546A" w:themeColor="text2"/>
      <w:sz w:val="20"/>
      <w:lang w:eastAsia="en-US"/>
    </w:rPr>
  </w:style>
  <w:style w:type="paragraph" w:customStyle="1" w:styleId="D13C07EBA75B48C497D9E7C0B1999B9C">
    <w:name w:val="D13C07EBA75B48C497D9E7C0B1999B9C"/>
    <w:rsid w:val="009E31E4"/>
    <w:pPr>
      <w:spacing w:before="200" w:after="200"/>
      <w:jc w:val="both"/>
    </w:pPr>
    <w:rPr>
      <w:rFonts w:eastAsiaTheme="minorHAnsi"/>
      <w:color w:val="44546A" w:themeColor="text2"/>
      <w:sz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AJBD">
      <a:dk1>
        <a:srgbClr val="323232"/>
      </a:dk1>
      <a:lt1>
        <a:srgbClr val="FFFFFF"/>
      </a:lt1>
      <a:dk2>
        <a:srgbClr val="646464"/>
      </a:dk2>
      <a:lt2>
        <a:srgbClr val="EBEBEB"/>
      </a:lt2>
      <a:accent1>
        <a:srgbClr val="005293"/>
      </a:accent1>
      <a:accent2>
        <a:srgbClr val="1598D9"/>
      </a:accent2>
      <a:accent3>
        <a:srgbClr val="92D400"/>
      </a:accent3>
      <a:accent4>
        <a:srgbClr val="1FB531"/>
      </a:accent4>
      <a:accent5>
        <a:srgbClr val="FA9500"/>
      </a:accent5>
      <a:accent6>
        <a:srgbClr val="D12323"/>
      </a:accent6>
      <a:hlink>
        <a:srgbClr val="52299D"/>
      </a:hlink>
      <a:folHlink>
        <a:srgbClr val="BD276B"/>
      </a:folHlink>
    </a:clrScheme>
    <a:fontScheme name="AJBD">
      <a:majorFont>
        <a:latin typeface="Gill Sans MT"/>
        <a:ea typeface=""/>
        <a:cs typeface=""/>
      </a:majorFont>
      <a:minorFont>
        <a:latin typeface="Century Goth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7CD53CD4D548D418C4A9FDC9573570C" ma:contentTypeVersion="20" ma:contentTypeDescription="Crée un document." ma:contentTypeScope="" ma:versionID="56250d410975bb223a19371663c4eac2">
  <xsd:schema xmlns:xsd="http://www.w3.org/2001/XMLSchema" xmlns:xs="http://www.w3.org/2001/XMLSchema" xmlns:p="http://schemas.microsoft.com/office/2006/metadata/properties" xmlns:ns2="4a3adf83-4159-48c2-b191-a10bc88d810d" xmlns:ns3="66095bee-5dc8-457d-bf6f-f80c5fc40eda" xmlns:ns4="f62a26c4-aace-4fc9-80a7-ab28e1be8723" targetNamespace="http://schemas.microsoft.com/office/2006/metadata/properties" ma:root="true" ma:fieldsID="0fd14d0bc0158dbbb6d3bbc7655d42cd" ns2:_="" ns3:_="" ns4:_="">
    <xsd:import namespace="4a3adf83-4159-48c2-b191-a10bc88d810d"/>
    <xsd:import namespace="66095bee-5dc8-457d-bf6f-f80c5fc40eda"/>
    <xsd:import namespace="f62a26c4-aace-4fc9-80a7-ab28e1be8723"/>
    <xsd:element name="properties">
      <xsd:complexType>
        <xsd:sequence>
          <xsd:element name="documentManagement">
            <xsd:complexType>
              <xsd:all>
                <xsd:element ref="ns2:u97m" minOccurs="0"/>
                <xsd:element ref="ns3:SharedWithUsers" minOccurs="0"/>
                <xsd:element ref="ns3:SharedWithDetails"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Intervenants" minOccurs="0"/>
                <xsd:element ref="ns2:P_x00f4_le"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3adf83-4159-48c2-b191-a10bc88d810d" elementFormDefault="qualified">
    <xsd:import namespace="http://schemas.microsoft.com/office/2006/documentManagement/types"/>
    <xsd:import namespace="http://schemas.microsoft.com/office/infopath/2007/PartnerControls"/>
    <xsd:element name="u97m" ma:index="4" nillable="true" ma:displayName="Personne ou groupe" ma:list="UserInfo" ma:SearchPeopleOnly="false" ma:SharePointGroup="0" ma:internalName="u97m"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Intervenants" ma:index="21" nillable="true" ma:displayName="Intervenants" ma:format="Dropdown" ma:list="UserInfo" ma:SharePointGroup="0" ma:internalName="Intervenants"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_x00f4_le" ma:index="22" nillable="true" ma:displayName="Pôle" ma:format="Dropdown" ma:internalName="P_x00f4_le">
      <xsd:simpleType>
        <xsd:restriction base="dms:Choice">
          <xsd:enumeration value="Déchets"/>
          <xsd:enumeration value="T&amp;M"/>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Balises d’images" ma:readOnly="false" ma:fieldId="{5cf76f15-5ced-4ddc-b409-7134ff3c332f}" ma:taxonomyMulti="true" ma:sspId="139683a3-f2f3-44ee-928b-32f6648b78e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6095bee-5dc8-457d-bf6f-f80c5fc40eda" elementFormDefault="qualified">
    <xsd:import namespace="http://schemas.microsoft.com/office/2006/documentManagement/types"/>
    <xsd:import namespace="http://schemas.microsoft.com/office/infopath/2007/PartnerControls"/>
    <xsd:element name="SharedWithUsers" ma:index="9" nillable="true" ma:displayName="Partagé avec"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2a26c4-aace-4fc9-80a7-ab28e1be8723"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92c82327-b719-4e29-90c1-eb8e700ea91d}" ma:internalName="TaxCatchAll" ma:showField="CatchAllData" ma:web="f62a26c4-aace-4fc9-80a7-ab28e1be87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Type de contenu"/>
        <xsd:element ref="dc:title" minOccurs="0" maxOccurs="1" ma:index="3"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u97m xmlns="4a3adf83-4159-48c2-b191-a10bc88d810d">
      <UserInfo>
        <DisplayName/>
        <AccountId xsi:nil="true"/>
        <AccountType/>
      </UserInfo>
    </u97m>
    <P_x00f4_le xmlns="4a3adf83-4159-48c2-b191-a10bc88d810d" xsi:nil="true"/>
    <Intervenants xmlns="4a3adf83-4159-48c2-b191-a10bc88d810d">
      <UserInfo>
        <DisplayName/>
        <AccountId xsi:nil="true"/>
        <AccountType/>
      </UserInfo>
    </Intervenants>
    <lcf76f155ced4ddcb4097134ff3c332f xmlns="4a3adf83-4159-48c2-b191-a10bc88d810d">
      <Terms xmlns="http://schemas.microsoft.com/office/infopath/2007/PartnerControls"/>
    </lcf76f155ced4ddcb4097134ff3c332f>
    <TaxCatchAll xmlns="f62a26c4-aace-4fc9-80a7-ab28e1be8723" xsi:nil="true"/>
  </documentManagement>
</p:properties>
</file>

<file path=customXml/itemProps1.xml><?xml version="1.0" encoding="utf-8"?>
<ds:datastoreItem xmlns:ds="http://schemas.openxmlformats.org/officeDocument/2006/customXml" ds:itemID="{A9E6E325-43F5-40DE-AC65-3C43294A9A84}">
  <ds:schemaRefs>
    <ds:schemaRef ds:uri="http://schemas.microsoft.com/sharepoint/v3/contenttype/forms"/>
  </ds:schemaRefs>
</ds:datastoreItem>
</file>

<file path=customXml/itemProps2.xml><?xml version="1.0" encoding="utf-8"?>
<ds:datastoreItem xmlns:ds="http://schemas.openxmlformats.org/officeDocument/2006/customXml" ds:itemID="{A183BC09-2636-4966-8E6E-965BDE81EB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3adf83-4159-48c2-b191-a10bc88d810d"/>
    <ds:schemaRef ds:uri="66095bee-5dc8-457d-bf6f-f80c5fc40eda"/>
    <ds:schemaRef ds:uri="f62a26c4-aace-4fc9-80a7-ab28e1be87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496536-51EC-445E-B356-3782E8F16734}">
  <ds:schemaRefs>
    <ds:schemaRef ds:uri="http://schemas.openxmlformats.org/officeDocument/2006/bibliography"/>
  </ds:schemaRefs>
</ds:datastoreItem>
</file>

<file path=customXml/itemProps4.xml><?xml version="1.0" encoding="utf-8"?>
<ds:datastoreItem xmlns:ds="http://schemas.openxmlformats.org/officeDocument/2006/customXml" ds:itemID="{C0020386-8827-4A58-B63F-0F5A961E96B8}">
  <ds:schemaRefs>
    <ds:schemaRef ds:uri="http://schemas.openxmlformats.org/package/2006/metadata/core-properties"/>
    <ds:schemaRef ds:uri="http://www.w3.org/XML/1998/namespace"/>
    <ds:schemaRef ds:uri="http://purl.org/dc/elements/1.1/"/>
    <ds:schemaRef ds:uri="http://schemas.microsoft.com/office/2006/documentManagement/types"/>
    <ds:schemaRef ds:uri="f62a26c4-aace-4fc9-80a7-ab28e1be8723"/>
    <ds:schemaRef ds:uri="http://purl.org/dc/dcmitype/"/>
    <ds:schemaRef ds:uri="66095bee-5dc8-457d-bf6f-f80c5fc40eda"/>
    <ds:schemaRef ds:uri="http://schemas.microsoft.com/office/infopath/2007/PartnerControls"/>
    <ds:schemaRef ds:uri="4a3adf83-4159-48c2-b191-a10bc88d810d"/>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853</Words>
  <Characters>4692</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AJBD</Company>
  <LinksUpToDate>false</LinksUpToDate>
  <CharactersWithSpaces>5534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AJBD</dc:creator>
  <cp:keywords/>
  <dc:description/>
  <cp:lastModifiedBy>Yoann GOAVEC</cp:lastModifiedBy>
  <cp:revision>4</cp:revision>
  <dcterms:created xsi:type="dcterms:W3CDTF">2022-08-05T13:51:00Z</dcterms:created>
  <dcterms:modified xsi:type="dcterms:W3CDTF">2022-08-22T12:13:00Z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0x01010057CD53CD4D548D418C4A9FDC9573570C</vt:lpwstr>
  </property>
  <property fmtid="{D5CDD505-2E9C-101B-9397-08002B2CF9AE}" pid="3" name="Order">
    <vt:r8>91200</vt:r8>
  </property>
  <property fmtid="{D5CDD505-2E9C-101B-9397-08002B2CF9AE}" pid="4" name="MediaServiceImageTags">
    <vt:lpwstr/>
  </property>
</Properties>
</file>