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0ECE3FCE" w:rsidR="00D5544D" w:rsidRPr="00D5544D" w:rsidRDefault="00AB37A2"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 </w:t>
            </w:r>
            <w:r w:rsidR="002B09AD">
              <w:rPr>
                <w:rFonts w:asciiTheme="majorHAnsi" w:hAnsiTheme="majorHAnsi"/>
                <w:color w:val="1598D9" w:themeColor="accent2"/>
                <w:sz w:val="36"/>
                <w:szCs w:val="36"/>
              </w:rPr>
              <w:t>Meuse</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AB37A2"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2C97B8E6">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3FA9F5DF" w:rsidR="00837091" w:rsidRDefault="002B09AD" w:rsidP="008F2F62">
            <w:pPr>
              <w:pStyle w:val="Corpsdetexte"/>
              <w:spacing w:before="120" w:after="0"/>
              <w:jc w:val="center"/>
            </w:pPr>
            <w:r>
              <w:rPr>
                <w:noProof/>
              </w:rPr>
              <w:drawing>
                <wp:inline distT="0" distB="0" distL="0" distR="0" wp14:anchorId="764A53DC" wp14:editId="1C8015B0">
                  <wp:extent cx="1468105"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7"/>
                          </a:xfrm>
                          <a:prstGeom prst="rect">
                            <a:avLst/>
                          </a:prstGeom>
                        </pic:spPr>
                      </pic:pic>
                    </a:graphicData>
                  </a:graphic>
                </wp:inline>
              </w:drawing>
            </w:r>
          </w:p>
          <w:p w14:paraId="5FD54401" w14:textId="48D84D0D" w:rsidR="00A10FFA" w:rsidRPr="00A10FFA" w:rsidRDefault="002B09AD" w:rsidP="00A10FFA">
            <w:pPr>
              <w:pStyle w:val="Corpsdetexte"/>
              <w:spacing w:before="120" w:after="0"/>
              <w:jc w:val="center"/>
              <w:rPr>
                <w:b/>
                <w:bCs/>
              </w:rPr>
            </w:pPr>
            <w:r>
              <w:rPr>
                <w:b/>
                <w:bCs/>
              </w:rPr>
              <w:t>Meuse</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2B09AD" w:rsidRPr="008F2F62" w14:paraId="5EC92056" w14:textId="77777777" w:rsidTr="002B09AD">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2B09AD" w:rsidRPr="008F2F62" w:rsidRDefault="002B09AD" w:rsidP="002B09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3D082B91" w:rsidR="002B09AD" w:rsidRPr="002B09AD" w:rsidRDefault="002B09AD" w:rsidP="002B09AD">
            <w:pPr>
              <w:spacing w:line="240" w:lineRule="auto"/>
              <w:jc w:val="center"/>
              <w:rPr>
                <w:rFonts w:ascii="Century Gothic" w:eastAsia="Times New Roman" w:hAnsi="Century Gothic" w:cs="Times New Roman"/>
                <w:b/>
                <w:bCs/>
                <w:color w:val="1598D9" w:themeColor="accent2"/>
                <w:szCs w:val="20"/>
                <w:lang w:eastAsia="fr-FR"/>
              </w:rPr>
            </w:pPr>
            <w:r w:rsidRPr="002B09AD">
              <w:rPr>
                <w:b/>
                <w:bCs/>
                <w:color w:val="1598D9" w:themeColor="accent2"/>
              </w:rPr>
              <w:t>182 811 (- 0,8 %)</w:t>
            </w:r>
          </w:p>
        </w:tc>
        <w:tc>
          <w:tcPr>
            <w:tcW w:w="907" w:type="dxa"/>
            <w:tcBorders>
              <w:top w:val="nil"/>
              <w:left w:val="nil"/>
              <w:bottom w:val="single" w:sz="4" w:space="0" w:color="D2D2D2"/>
              <w:right w:val="nil"/>
            </w:tcBorders>
            <w:shd w:val="clear" w:color="000000" w:fill="FFFFFF"/>
            <w:noWrap/>
            <w:vAlign w:val="center"/>
            <w:hideMark/>
          </w:tcPr>
          <w:p w14:paraId="13942E9A" w14:textId="20416718" w:rsidR="002B09AD" w:rsidRPr="002B09AD" w:rsidRDefault="002B09AD" w:rsidP="002B09AD">
            <w:pPr>
              <w:spacing w:line="240" w:lineRule="auto"/>
              <w:jc w:val="center"/>
              <w:rPr>
                <w:rFonts w:ascii="Century Gothic" w:eastAsia="Times New Roman" w:hAnsi="Century Gothic" w:cs="Times New Roman"/>
                <w:b/>
                <w:bCs/>
                <w:color w:val="005293" w:themeColor="accent1"/>
                <w:szCs w:val="20"/>
                <w:lang w:eastAsia="fr-FR"/>
              </w:rPr>
            </w:pPr>
            <w:r w:rsidRPr="002B09AD">
              <w:rPr>
                <w:b/>
                <w:bCs/>
                <w:color w:val="005293" w:themeColor="accent1"/>
              </w:rPr>
              <w:t>3,3 %</w:t>
            </w:r>
          </w:p>
        </w:tc>
        <w:tc>
          <w:tcPr>
            <w:tcW w:w="1510" w:type="dxa"/>
            <w:vMerge w:val="restart"/>
            <w:tcBorders>
              <w:top w:val="nil"/>
              <w:left w:val="nil"/>
              <w:bottom w:val="nil"/>
              <w:right w:val="nil"/>
            </w:tcBorders>
            <w:shd w:val="clear" w:color="000000" w:fill="D9D9D9"/>
            <w:vAlign w:val="center"/>
            <w:hideMark/>
          </w:tcPr>
          <w:p w14:paraId="36CC82F7" w14:textId="641D4A12" w:rsidR="002B09AD" w:rsidRPr="008F2F62" w:rsidRDefault="002B09AD" w:rsidP="002B09AD">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2B09AD" w:rsidRPr="008F2F62" w14:paraId="78CE9338" w14:textId="77777777" w:rsidTr="002B09AD">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2B09AD" w:rsidRPr="008F2F62" w:rsidRDefault="002B09AD" w:rsidP="002B09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52BDB30A" w:rsidR="002B09AD" w:rsidRPr="002B09AD" w:rsidRDefault="002B09AD" w:rsidP="002B09AD">
            <w:pPr>
              <w:spacing w:line="240" w:lineRule="auto"/>
              <w:jc w:val="center"/>
              <w:rPr>
                <w:rFonts w:ascii="Century Gothic" w:eastAsia="Times New Roman" w:hAnsi="Century Gothic" w:cs="Times New Roman"/>
                <w:b/>
                <w:bCs/>
                <w:color w:val="1598D9" w:themeColor="accent2"/>
                <w:szCs w:val="20"/>
                <w:lang w:eastAsia="fr-FR"/>
              </w:rPr>
            </w:pPr>
            <w:r w:rsidRPr="002B09AD">
              <w:rPr>
                <w:b/>
                <w:bCs/>
                <w:color w:val="1598D9" w:themeColor="accent2"/>
              </w:rPr>
              <w:t>55 513 (- 0,2 %)</w:t>
            </w:r>
          </w:p>
        </w:tc>
        <w:tc>
          <w:tcPr>
            <w:tcW w:w="907" w:type="dxa"/>
            <w:tcBorders>
              <w:top w:val="nil"/>
              <w:left w:val="nil"/>
              <w:bottom w:val="single" w:sz="4" w:space="0" w:color="D2D2D2"/>
              <w:right w:val="nil"/>
            </w:tcBorders>
            <w:shd w:val="clear" w:color="000000" w:fill="FFFFFF"/>
            <w:noWrap/>
            <w:vAlign w:val="center"/>
            <w:hideMark/>
          </w:tcPr>
          <w:p w14:paraId="11BB692E" w14:textId="22EB84E3" w:rsidR="002B09AD" w:rsidRPr="002B09AD" w:rsidRDefault="002B09AD" w:rsidP="002B09AD">
            <w:pPr>
              <w:spacing w:line="240" w:lineRule="auto"/>
              <w:jc w:val="center"/>
              <w:rPr>
                <w:rFonts w:ascii="Century Gothic" w:eastAsia="Times New Roman" w:hAnsi="Century Gothic" w:cs="Times New Roman"/>
                <w:b/>
                <w:bCs/>
                <w:color w:val="005293" w:themeColor="accent1"/>
                <w:szCs w:val="20"/>
                <w:lang w:eastAsia="fr-FR"/>
              </w:rPr>
            </w:pPr>
            <w:r w:rsidRPr="002B09AD">
              <w:rPr>
                <w:b/>
                <w:bCs/>
                <w:color w:val="005293" w:themeColor="accent1"/>
              </w:rPr>
              <w:t>2,9 %</w:t>
            </w:r>
          </w:p>
        </w:tc>
        <w:tc>
          <w:tcPr>
            <w:tcW w:w="1510" w:type="dxa"/>
            <w:vMerge/>
            <w:tcBorders>
              <w:top w:val="nil"/>
              <w:left w:val="nil"/>
              <w:bottom w:val="nil"/>
              <w:right w:val="nil"/>
            </w:tcBorders>
            <w:vAlign w:val="center"/>
            <w:hideMark/>
          </w:tcPr>
          <w:p w14:paraId="5DBEB910" w14:textId="77777777" w:rsidR="002B09AD" w:rsidRPr="008F2F62" w:rsidRDefault="002B09AD" w:rsidP="002B09AD">
            <w:pPr>
              <w:spacing w:line="240" w:lineRule="auto"/>
              <w:rPr>
                <w:rFonts w:ascii="Century Gothic" w:eastAsia="Times New Roman" w:hAnsi="Century Gothic" w:cs="Times New Roman"/>
                <w:b/>
                <w:bCs/>
                <w:color w:val="FFFFFF"/>
                <w:szCs w:val="20"/>
                <w:lang w:eastAsia="fr-FR"/>
              </w:rPr>
            </w:pPr>
          </w:p>
        </w:tc>
      </w:tr>
      <w:tr w:rsidR="002B09AD" w:rsidRPr="008F2F62" w14:paraId="6C3DD9D7" w14:textId="77777777" w:rsidTr="002B09AD">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2B09AD" w:rsidRPr="008F2F62" w:rsidRDefault="002B09AD" w:rsidP="002B09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35F65D14" w:rsidR="002B09AD" w:rsidRPr="002B09AD" w:rsidRDefault="002B09AD" w:rsidP="002B09AD">
            <w:pPr>
              <w:spacing w:line="240" w:lineRule="auto"/>
              <w:jc w:val="center"/>
              <w:rPr>
                <w:rFonts w:ascii="Century Gothic" w:eastAsia="Times New Roman" w:hAnsi="Century Gothic" w:cs="Times New Roman"/>
                <w:b/>
                <w:bCs/>
                <w:color w:val="1598D9" w:themeColor="accent2"/>
                <w:szCs w:val="20"/>
                <w:lang w:eastAsia="fr-FR"/>
              </w:rPr>
            </w:pPr>
            <w:r w:rsidRPr="002B09AD">
              <w:rPr>
                <w:b/>
                <w:bCs/>
                <w:color w:val="1598D9" w:themeColor="accent2"/>
              </w:rPr>
              <w:t>3 485 (- 1,5 %)</w:t>
            </w:r>
          </w:p>
        </w:tc>
        <w:tc>
          <w:tcPr>
            <w:tcW w:w="907" w:type="dxa"/>
            <w:tcBorders>
              <w:top w:val="nil"/>
              <w:left w:val="nil"/>
              <w:bottom w:val="single" w:sz="4" w:space="0" w:color="D2D2D2"/>
              <w:right w:val="nil"/>
            </w:tcBorders>
            <w:shd w:val="clear" w:color="000000" w:fill="FFFFFF"/>
            <w:noWrap/>
            <w:vAlign w:val="center"/>
            <w:hideMark/>
          </w:tcPr>
          <w:p w14:paraId="38A28D55" w14:textId="6F17EC5B" w:rsidR="002B09AD" w:rsidRPr="002B09AD" w:rsidRDefault="002B09AD" w:rsidP="002B09AD">
            <w:pPr>
              <w:spacing w:line="240" w:lineRule="auto"/>
              <w:jc w:val="center"/>
              <w:rPr>
                <w:rFonts w:ascii="Century Gothic" w:eastAsia="Times New Roman" w:hAnsi="Century Gothic" w:cs="Times New Roman"/>
                <w:b/>
                <w:bCs/>
                <w:color w:val="005293" w:themeColor="accent1"/>
                <w:szCs w:val="20"/>
                <w:lang w:eastAsia="fr-FR"/>
              </w:rPr>
            </w:pPr>
            <w:r w:rsidRPr="002B09AD">
              <w:rPr>
                <w:b/>
                <w:bCs/>
                <w:color w:val="005293" w:themeColor="accent1"/>
              </w:rPr>
              <w:t>2,7 %</w:t>
            </w:r>
          </w:p>
        </w:tc>
        <w:tc>
          <w:tcPr>
            <w:tcW w:w="1510" w:type="dxa"/>
            <w:vMerge/>
            <w:tcBorders>
              <w:top w:val="nil"/>
              <w:left w:val="nil"/>
              <w:bottom w:val="nil"/>
              <w:right w:val="nil"/>
            </w:tcBorders>
            <w:vAlign w:val="center"/>
            <w:hideMark/>
          </w:tcPr>
          <w:p w14:paraId="4F14CE5E" w14:textId="77777777" w:rsidR="002B09AD" w:rsidRPr="008F2F62" w:rsidRDefault="002B09AD" w:rsidP="002B09AD">
            <w:pPr>
              <w:spacing w:line="240" w:lineRule="auto"/>
              <w:rPr>
                <w:rFonts w:ascii="Century Gothic" w:eastAsia="Times New Roman" w:hAnsi="Century Gothic" w:cs="Times New Roman"/>
                <w:b/>
                <w:bCs/>
                <w:color w:val="FFFFFF"/>
                <w:szCs w:val="20"/>
                <w:lang w:eastAsia="fr-FR"/>
              </w:rPr>
            </w:pPr>
          </w:p>
        </w:tc>
      </w:tr>
      <w:tr w:rsidR="002B09AD" w:rsidRPr="008F2F62" w14:paraId="340F9EA3" w14:textId="77777777" w:rsidTr="002B09AD">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2B09AD" w:rsidRPr="008F2F62" w:rsidRDefault="002B09AD" w:rsidP="002B09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5D8A6FA4" w:rsidR="002B09AD" w:rsidRPr="002B09AD" w:rsidRDefault="002B09AD" w:rsidP="002B09AD">
            <w:pPr>
              <w:spacing w:line="240" w:lineRule="auto"/>
              <w:jc w:val="center"/>
              <w:rPr>
                <w:rFonts w:ascii="Century Gothic" w:eastAsia="Times New Roman" w:hAnsi="Century Gothic" w:cs="Times New Roman"/>
                <w:b/>
                <w:bCs/>
                <w:color w:val="1598D9" w:themeColor="accent2"/>
                <w:szCs w:val="20"/>
                <w:lang w:eastAsia="fr-FR"/>
              </w:rPr>
            </w:pPr>
            <w:r w:rsidRPr="002B09AD">
              <w:rPr>
                <w:b/>
                <w:bCs/>
                <w:color w:val="1598D9" w:themeColor="accent2"/>
              </w:rPr>
              <w:t>125 743 (+ 0,0 %)</w:t>
            </w:r>
          </w:p>
        </w:tc>
        <w:tc>
          <w:tcPr>
            <w:tcW w:w="907" w:type="dxa"/>
            <w:tcBorders>
              <w:top w:val="nil"/>
              <w:left w:val="nil"/>
              <w:bottom w:val="single" w:sz="4" w:space="0" w:color="D2D2D2"/>
              <w:right w:val="nil"/>
            </w:tcBorders>
            <w:shd w:val="clear" w:color="000000" w:fill="FFFFFF"/>
            <w:noWrap/>
            <w:vAlign w:val="center"/>
            <w:hideMark/>
          </w:tcPr>
          <w:p w14:paraId="2B98A726" w14:textId="7C11BFD8" w:rsidR="002B09AD" w:rsidRPr="002B09AD" w:rsidRDefault="002B09AD" w:rsidP="002B09AD">
            <w:pPr>
              <w:spacing w:line="240" w:lineRule="auto"/>
              <w:jc w:val="center"/>
              <w:rPr>
                <w:rFonts w:ascii="Century Gothic" w:eastAsia="Times New Roman" w:hAnsi="Century Gothic" w:cs="Times New Roman"/>
                <w:b/>
                <w:bCs/>
                <w:color w:val="005293" w:themeColor="accent1"/>
                <w:szCs w:val="20"/>
                <w:lang w:eastAsia="fr-FR"/>
              </w:rPr>
            </w:pPr>
            <w:r w:rsidRPr="002B09AD">
              <w:rPr>
                <w:b/>
                <w:bCs/>
                <w:color w:val="005293" w:themeColor="accent1"/>
              </w:rPr>
              <w:t>2,5 %</w:t>
            </w:r>
          </w:p>
        </w:tc>
        <w:tc>
          <w:tcPr>
            <w:tcW w:w="1510" w:type="dxa"/>
            <w:vMerge/>
            <w:tcBorders>
              <w:top w:val="nil"/>
              <w:left w:val="nil"/>
              <w:bottom w:val="nil"/>
              <w:right w:val="nil"/>
            </w:tcBorders>
            <w:vAlign w:val="center"/>
            <w:hideMark/>
          </w:tcPr>
          <w:p w14:paraId="1A5117ED" w14:textId="77777777" w:rsidR="002B09AD" w:rsidRPr="008F2F62" w:rsidRDefault="002B09AD" w:rsidP="002B09AD">
            <w:pPr>
              <w:spacing w:line="240" w:lineRule="auto"/>
              <w:rPr>
                <w:rFonts w:ascii="Century Gothic" w:eastAsia="Times New Roman" w:hAnsi="Century Gothic" w:cs="Times New Roman"/>
                <w:b/>
                <w:bCs/>
                <w:color w:val="FFFFFF"/>
                <w:szCs w:val="20"/>
                <w:lang w:eastAsia="fr-FR"/>
              </w:rPr>
            </w:pPr>
          </w:p>
        </w:tc>
      </w:tr>
      <w:tr w:rsidR="002B09AD" w:rsidRPr="008F2F62" w14:paraId="7AA4AF07" w14:textId="77777777" w:rsidTr="002B09AD">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2B09AD" w:rsidRPr="008F2F62" w:rsidRDefault="002B09AD" w:rsidP="002B09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3809BD61" w:rsidR="002B09AD" w:rsidRPr="002B09AD" w:rsidRDefault="002B09AD" w:rsidP="002B09AD">
            <w:pPr>
              <w:spacing w:line="240" w:lineRule="auto"/>
              <w:jc w:val="center"/>
              <w:rPr>
                <w:rFonts w:ascii="Century Gothic" w:eastAsia="Times New Roman" w:hAnsi="Century Gothic" w:cs="Times New Roman"/>
                <w:b/>
                <w:bCs/>
                <w:color w:val="1598D9" w:themeColor="accent2"/>
                <w:szCs w:val="20"/>
                <w:lang w:eastAsia="fr-FR"/>
              </w:rPr>
            </w:pPr>
            <w:r w:rsidRPr="002B09AD">
              <w:rPr>
                <w:b/>
                <w:bCs/>
                <w:color w:val="1598D9" w:themeColor="accent2"/>
              </w:rPr>
              <w:t>83 430 t</w:t>
            </w:r>
          </w:p>
        </w:tc>
        <w:tc>
          <w:tcPr>
            <w:tcW w:w="907" w:type="dxa"/>
            <w:tcBorders>
              <w:top w:val="nil"/>
              <w:left w:val="nil"/>
              <w:bottom w:val="single" w:sz="4" w:space="0" w:color="D2D2D2"/>
              <w:right w:val="nil"/>
            </w:tcBorders>
            <w:shd w:val="clear" w:color="000000" w:fill="FFFFFF"/>
            <w:noWrap/>
            <w:vAlign w:val="center"/>
            <w:hideMark/>
          </w:tcPr>
          <w:p w14:paraId="4B25611E" w14:textId="346AF4E6" w:rsidR="002B09AD" w:rsidRPr="002B09AD" w:rsidRDefault="002B09AD" w:rsidP="002B09AD">
            <w:pPr>
              <w:spacing w:line="240" w:lineRule="auto"/>
              <w:jc w:val="center"/>
              <w:rPr>
                <w:rFonts w:ascii="Century Gothic" w:eastAsia="Times New Roman" w:hAnsi="Century Gothic" w:cs="Times New Roman"/>
                <w:b/>
                <w:bCs/>
                <w:color w:val="005293" w:themeColor="accent1"/>
                <w:szCs w:val="20"/>
                <w:lang w:eastAsia="fr-FR"/>
              </w:rPr>
            </w:pPr>
            <w:r w:rsidRPr="002B09AD">
              <w:rPr>
                <w:b/>
                <w:bCs/>
                <w:color w:val="005293" w:themeColor="accent1"/>
              </w:rPr>
              <w:t>3,2 %</w:t>
            </w:r>
          </w:p>
        </w:tc>
        <w:tc>
          <w:tcPr>
            <w:tcW w:w="1510" w:type="dxa"/>
            <w:vMerge/>
            <w:tcBorders>
              <w:top w:val="nil"/>
              <w:left w:val="nil"/>
              <w:bottom w:val="nil"/>
              <w:right w:val="nil"/>
            </w:tcBorders>
            <w:vAlign w:val="center"/>
            <w:hideMark/>
          </w:tcPr>
          <w:p w14:paraId="740B901D" w14:textId="77777777" w:rsidR="002B09AD" w:rsidRPr="008F2F62" w:rsidRDefault="002B09AD" w:rsidP="002B09AD">
            <w:pPr>
              <w:spacing w:line="240" w:lineRule="auto"/>
              <w:rPr>
                <w:rFonts w:ascii="Century Gothic" w:eastAsia="Times New Roman" w:hAnsi="Century Gothic" w:cs="Times New Roman"/>
                <w:b/>
                <w:bCs/>
                <w:color w:val="FFFFFF"/>
                <w:szCs w:val="20"/>
                <w:lang w:eastAsia="fr-FR"/>
              </w:rPr>
            </w:pPr>
          </w:p>
        </w:tc>
      </w:tr>
      <w:tr w:rsidR="002B09AD" w:rsidRPr="008F2F62" w14:paraId="4CADD36E" w14:textId="77777777" w:rsidTr="002B09AD">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2B09AD" w:rsidRPr="008F2F62" w:rsidRDefault="002B09AD" w:rsidP="002B09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2C7B4956" w:rsidR="002B09AD" w:rsidRPr="002B09AD" w:rsidRDefault="002B09AD" w:rsidP="002B09AD">
            <w:pPr>
              <w:spacing w:line="240" w:lineRule="auto"/>
              <w:jc w:val="center"/>
              <w:rPr>
                <w:rFonts w:ascii="Century Gothic" w:eastAsia="Times New Roman" w:hAnsi="Century Gothic" w:cs="Times New Roman"/>
                <w:b/>
                <w:bCs/>
                <w:color w:val="1598D9" w:themeColor="accent2"/>
                <w:szCs w:val="20"/>
                <w:lang w:eastAsia="fr-FR"/>
              </w:rPr>
            </w:pPr>
            <w:r w:rsidRPr="002B09AD">
              <w:rPr>
                <w:b/>
                <w:bCs/>
                <w:color w:val="1598D9" w:themeColor="accent2"/>
              </w:rPr>
              <w:t>90 %</w:t>
            </w:r>
          </w:p>
        </w:tc>
        <w:tc>
          <w:tcPr>
            <w:tcW w:w="907" w:type="dxa"/>
            <w:tcBorders>
              <w:top w:val="nil"/>
              <w:left w:val="nil"/>
              <w:bottom w:val="single" w:sz="4" w:space="0" w:color="D2D2D2"/>
              <w:right w:val="nil"/>
            </w:tcBorders>
            <w:shd w:val="clear" w:color="000000" w:fill="FFFFFF"/>
            <w:noWrap/>
            <w:vAlign w:val="center"/>
            <w:hideMark/>
          </w:tcPr>
          <w:p w14:paraId="5252CA16" w14:textId="2E26116E" w:rsidR="002B09AD" w:rsidRPr="002B09AD" w:rsidRDefault="002B09AD" w:rsidP="002B09AD">
            <w:pPr>
              <w:spacing w:line="240" w:lineRule="auto"/>
              <w:jc w:val="center"/>
              <w:rPr>
                <w:rFonts w:ascii="Century Gothic" w:eastAsia="Times New Roman" w:hAnsi="Century Gothic" w:cs="Times New Roman"/>
                <w:b/>
                <w:bCs/>
                <w:color w:val="005293" w:themeColor="accent1"/>
                <w:szCs w:val="20"/>
                <w:lang w:eastAsia="fr-FR"/>
              </w:rPr>
            </w:pPr>
            <w:r w:rsidRPr="002B09AD">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2B09AD" w:rsidRPr="008F2F62" w:rsidRDefault="002B09AD" w:rsidP="002B09AD">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2B09AD" w:rsidRPr="008F2F62" w14:paraId="50CB4E74" w14:textId="77777777" w:rsidTr="002B09AD">
        <w:trPr>
          <w:trHeight w:val="270"/>
        </w:trPr>
        <w:tc>
          <w:tcPr>
            <w:tcW w:w="4706" w:type="dxa"/>
            <w:tcBorders>
              <w:top w:val="nil"/>
              <w:left w:val="nil"/>
              <w:bottom w:val="nil"/>
              <w:right w:val="nil"/>
            </w:tcBorders>
            <w:shd w:val="clear" w:color="000000" w:fill="FFFFFF"/>
            <w:noWrap/>
            <w:vAlign w:val="center"/>
            <w:hideMark/>
          </w:tcPr>
          <w:p w14:paraId="43950DBC" w14:textId="05127F27" w:rsidR="002B09AD" w:rsidRPr="008F2F62" w:rsidRDefault="002B09AD" w:rsidP="002B09AD">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556E9DCE" w:rsidR="002B09AD" w:rsidRPr="002B09AD" w:rsidRDefault="002B09AD" w:rsidP="002B09AD">
            <w:pPr>
              <w:spacing w:line="240" w:lineRule="auto"/>
              <w:jc w:val="center"/>
              <w:rPr>
                <w:rFonts w:ascii="Century Gothic" w:eastAsia="Times New Roman" w:hAnsi="Century Gothic" w:cs="Times New Roman"/>
                <w:b/>
                <w:bCs/>
                <w:color w:val="1598D9" w:themeColor="accent2"/>
                <w:szCs w:val="20"/>
                <w:lang w:eastAsia="fr-FR"/>
              </w:rPr>
            </w:pPr>
            <w:r w:rsidRPr="002B09AD">
              <w:rPr>
                <w:b/>
                <w:bCs/>
                <w:color w:val="1598D9" w:themeColor="accent2"/>
              </w:rPr>
              <w:t>3 %</w:t>
            </w:r>
          </w:p>
        </w:tc>
        <w:tc>
          <w:tcPr>
            <w:tcW w:w="907" w:type="dxa"/>
            <w:tcBorders>
              <w:top w:val="nil"/>
              <w:left w:val="nil"/>
              <w:bottom w:val="nil"/>
              <w:right w:val="nil"/>
            </w:tcBorders>
            <w:shd w:val="clear" w:color="000000" w:fill="FFFFFF"/>
            <w:noWrap/>
            <w:vAlign w:val="center"/>
            <w:hideMark/>
          </w:tcPr>
          <w:p w14:paraId="5C8EDE1F" w14:textId="5C454B8A" w:rsidR="002B09AD" w:rsidRPr="002B09AD" w:rsidRDefault="002B09AD" w:rsidP="002B09AD">
            <w:pPr>
              <w:spacing w:line="240" w:lineRule="auto"/>
              <w:jc w:val="center"/>
              <w:rPr>
                <w:rFonts w:ascii="Century Gothic" w:eastAsia="Times New Roman" w:hAnsi="Century Gothic" w:cs="Times New Roman"/>
                <w:b/>
                <w:bCs/>
                <w:color w:val="005293" w:themeColor="accent1"/>
                <w:szCs w:val="20"/>
                <w:lang w:eastAsia="fr-FR"/>
              </w:rPr>
            </w:pPr>
            <w:r w:rsidRPr="002B09AD">
              <w:rPr>
                <w:b/>
                <w:bCs/>
                <w:color w:val="005293" w:themeColor="accent1"/>
              </w:rPr>
              <w:t>10 %</w:t>
            </w:r>
          </w:p>
        </w:tc>
        <w:tc>
          <w:tcPr>
            <w:tcW w:w="1510" w:type="dxa"/>
            <w:vMerge/>
            <w:tcBorders>
              <w:top w:val="nil"/>
              <w:left w:val="nil"/>
              <w:bottom w:val="nil"/>
              <w:right w:val="nil"/>
            </w:tcBorders>
            <w:vAlign w:val="center"/>
            <w:hideMark/>
          </w:tcPr>
          <w:p w14:paraId="6FEC216D" w14:textId="77777777" w:rsidR="002B09AD" w:rsidRPr="008F2F62" w:rsidRDefault="002B09AD" w:rsidP="002B09AD">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2BBF383C">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69379E65">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15C48932">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2FD00A59">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4290F7" w14:textId="77190C91" w:rsidR="00706B2D" w:rsidRDefault="00706B2D" w:rsidP="002C6D1C">
      <w:pPr>
        <w:pStyle w:val="Corpsdetexte"/>
      </w:pPr>
      <w:r>
        <w:rPr>
          <w:noProof/>
        </w:rPr>
        <w:lastRenderedPageBreak/>
        <w:drawing>
          <wp:anchor distT="0" distB="0" distL="114300" distR="114300" simplePos="0" relativeHeight="251658240" behindDoc="0" locked="0" layoutInCell="1" allowOverlap="1" wp14:anchorId="4DC33E20" wp14:editId="17040379">
            <wp:simplePos x="0" y="0"/>
            <wp:positionH relativeFrom="margin">
              <wp:align>left</wp:align>
            </wp:positionH>
            <wp:positionV relativeFrom="paragraph">
              <wp:posOffset>13335</wp:posOffset>
            </wp:positionV>
            <wp:extent cx="3619500" cy="21621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C690402" w14:textId="3C3FCFF0" w:rsidR="002C6D1C" w:rsidRDefault="002C6D1C" w:rsidP="002C6D1C">
      <w:pPr>
        <w:pStyle w:val="Corpsdetexte"/>
      </w:pPr>
      <w:r>
        <w:t>Le nombre de salariés sur le département est en légère baisse entre 2019 et 2020, ce qui peut s’expliquer par la crise sanitaire de 2020.</w:t>
      </w:r>
    </w:p>
    <w:p w14:paraId="4D3DC810" w14:textId="2D16BA4C" w:rsidR="002C6D1C" w:rsidRDefault="002C6D1C" w:rsidP="002C6D1C">
      <w:pPr>
        <w:pStyle w:val="Corpsdetexte"/>
      </w:pPr>
      <w:r>
        <w:t>Le</w:t>
      </w:r>
      <w:r w:rsidR="002E6D32">
        <w:t xml:space="preserve"> nombre de</w:t>
      </w:r>
      <w:r>
        <w:t xml:space="preserve"> salariés de l’agriculture et du BTP </w:t>
      </w:r>
      <w:r w:rsidR="002E6D32">
        <w:t>est</w:t>
      </w:r>
      <w:r>
        <w:t xml:space="preserve"> en augmentation, mais reste minoritaire au regard du tertiaire et de l'industrie.</w:t>
      </w:r>
    </w:p>
    <w:p w14:paraId="7D226AD2" w14:textId="77777777" w:rsidR="002C6D1C" w:rsidRPr="00C92008" w:rsidRDefault="002C6D1C" w:rsidP="002C6D1C">
      <w:pPr>
        <w:pStyle w:val="Corpsdetexte"/>
        <w:spacing w:before="0" w:after="0"/>
      </w:pP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12A70032">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7979E99F" w:rsidR="007A79F6" w:rsidRDefault="00D134E0" w:rsidP="00D134E0">
      <w:pPr>
        <w:pStyle w:val="Corpsdetexte"/>
        <w:rPr>
          <w:noProof/>
        </w:rPr>
      </w:pPr>
      <w:r w:rsidRPr="00D134E0">
        <w:t>Entre</w:t>
      </w:r>
      <w:r>
        <w:rPr>
          <w:noProof/>
        </w:rPr>
        <w:t xml:space="preserve"> 2019 et 2020, on note une </w:t>
      </w:r>
      <w:r w:rsidRPr="007774C7">
        <w:rPr>
          <w:b/>
          <w:bCs/>
          <w:noProof/>
        </w:rPr>
        <w:t xml:space="preserve">baisse </w:t>
      </w:r>
      <w:r w:rsidR="00B50105">
        <w:rPr>
          <w:b/>
          <w:bCs/>
          <w:noProof/>
        </w:rPr>
        <w:t xml:space="preserve">très marquée </w:t>
      </w:r>
      <w:r w:rsidRPr="007774C7">
        <w:rPr>
          <w:b/>
          <w:bCs/>
          <w:noProof/>
        </w:rPr>
        <w:t>d</w:t>
      </w:r>
      <w:r w:rsidR="007774C7" w:rsidRPr="007774C7">
        <w:rPr>
          <w:b/>
          <w:bCs/>
          <w:noProof/>
        </w:rPr>
        <w:t xml:space="preserve">e </w:t>
      </w:r>
      <w:r w:rsidR="00B50105">
        <w:rPr>
          <w:b/>
          <w:bCs/>
          <w:noProof/>
        </w:rPr>
        <w:t>30</w:t>
      </w:r>
      <w:r w:rsidR="007774C7" w:rsidRPr="007774C7">
        <w:rPr>
          <w:b/>
          <w:bCs/>
          <w:noProof/>
        </w:rPr>
        <w:t> </w:t>
      </w:r>
      <w:r w:rsidR="00B50105">
        <w:rPr>
          <w:b/>
          <w:bCs/>
          <w:noProof/>
        </w:rPr>
        <w:t>0</w:t>
      </w:r>
      <w:r w:rsidR="007774C7" w:rsidRPr="007774C7">
        <w:rPr>
          <w:b/>
          <w:bCs/>
          <w:noProof/>
        </w:rPr>
        <w:t>00 t</w:t>
      </w:r>
      <w:r w:rsidR="007774C7">
        <w:rPr>
          <w:noProof/>
        </w:rPr>
        <w:t xml:space="preserve"> d</w:t>
      </w:r>
      <w:r>
        <w:rPr>
          <w:noProof/>
        </w:rPr>
        <w:t xml:space="preserve">es tonnages de DAEndni entrant en installation des traitement. Cette baisse concerne particulièrement les </w:t>
      </w:r>
      <w:r w:rsidR="00B50105">
        <w:rPr>
          <w:noProof/>
        </w:rPr>
        <w:t xml:space="preserve">déchets en mélange, avec notamment </w:t>
      </w:r>
      <w:r w:rsidR="00670032">
        <w:rPr>
          <w:noProof/>
        </w:rPr>
        <w:t>un cente d’enfouissement qui a reçu plus de tonnages de collectivités et moins de tonnages de DAEndni, et un autre qui a réduit ses tonnages enfouis.</w:t>
      </w:r>
      <w:r w:rsidR="007774C7">
        <w:rPr>
          <w:noProof/>
        </w:rPr>
        <w:t xml:space="preserve"> A noter l’augmentation des déchets de papiers et cartons qui pourrait s’epxliquer par le recours accru aux commandes à distance.</w:t>
      </w:r>
    </w:p>
    <w:p w14:paraId="31090853" w14:textId="2981C8B8" w:rsidR="000D469F" w:rsidRDefault="00FD4E8B" w:rsidP="00D134E0">
      <w:pPr>
        <w:pStyle w:val="Corpsdetexte"/>
        <w:rPr>
          <w:noProof/>
        </w:rPr>
      </w:pPr>
      <w:r>
        <w:t>La production de DAEndni</w:t>
      </w:r>
      <w:r w:rsidR="009D7D3D">
        <w:t xml:space="preserve"> sur le département</w:t>
      </w:r>
      <w:r>
        <w:t xml:space="preserve"> </w:t>
      </w:r>
      <w:r w:rsidR="009D7D3D">
        <w:t xml:space="preserve">était estimée à </w:t>
      </w:r>
      <w:r w:rsidR="00670032">
        <w:t>156</w:t>
      </w:r>
      <w:r w:rsidR="009D7D3D">
        <w:t xml:space="preserve"> 000 t en 2019. </w:t>
      </w:r>
      <w:r w:rsidR="003A2A23">
        <w:rPr>
          <w:noProof/>
        </w:rPr>
        <w:t>En ajoutant les évolutions observées sur les tonnages de DAE assimilés aux déchets ménagers (-</w:t>
      </w:r>
      <w:r w:rsidR="00670032">
        <w:rPr>
          <w:noProof/>
        </w:rPr>
        <w:t xml:space="preserve"> 530</w:t>
      </w:r>
      <w:r w:rsidR="000D1D70">
        <w:rPr>
          <w:noProof/>
        </w:rPr>
        <w:t xml:space="preserve"> t</w:t>
      </w:r>
      <w:r w:rsidR="00670032">
        <w:rPr>
          <w:noProof/>
        </w:rPr>
        <w: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670032">
        <w:rPr>
          <w:b/>
          <w:bCs/>
          <w:noProof/>
        </w:rPr>
        <w:t>126</w:t>
      </w:r>
      <w:r w:rsidR="00083DF2" w:rsidRPr="00083DF2">
        <w:rPr>
          <w:b/>
          <w:bCs/>
          <w:noProof/>
        </w:rPr>
        <w:t xml:space="preserve"> </w:t>
      </w:r>
      <w:r w:rsidR="003A2A23" w:rsidRPr="00083DF2">
        <w:rPr>
          <w:b/>
          <w:bCs/>
          <w:noProof/>
        </w:rPr>
        <w:t>000 t</w:t>
      </w:r>
      <w:r w:rsidR="003A2A23">
        <w:rPr>
          <w:noProof/>
        </w:rPr>
        <w:t>.</w:t>
      </w:r>
      <w:r w:rsidR="000D27F1">
        <w:rPr>
          <w:noProof/>
        </w:rPr>
        <w:t xml:space="preserve"> Cette baisse s’explique</w:t>
      </w:r>
      <w:r w:rsidR="00670032">
        <w:rPr>
          <w:noProof/>
        </w:rPr>
        <w:t xml:space="preserve"> non seulement par la réduction de la quantitié de DAE enfouis mais également</w:t>
      </w:r>
      <w:r w:rsidR="000D27F1">
        <w:rPr>
          <w:noProof/>
        </w:rPr>
        <w:t xml:space="preserve"> par la crise sanitaire de 2020 qui a entrainé un ralentissement général de l’économie</w:t>
      </w:r>
      <w:r w:rsidR="00670032">
        <w:rPr>
          <w:noProof/>
        </w:rPr>
        <w:t>.</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40CB214E"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CA07FB">
        <w:rPr>
          <w:b/>
          <w:bCs/>
        </w:rPr>
        <w:t>83</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1A7F9222">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7D0B99D7" w:rsidR="00D134E0" w:rsidRDefault="00D134E0" w:rsidP="00D134E0">
      <w:pPr>
        <w:pStyle w:val="Corpsdetexte"/>
      </w:pPr>
      <w:r w:rsidRPr="00026AB8">
        <w:t>L</w:t>
      </w:r>
      <w:r w:rsidR="00026AB8" w:rsidRPr="00026AB8">
        <w:t xml:space="preserve">es caractéristiques des DAEndni identifiés en entrée d’installation de traitement reflètent les caractéristiques des tonnages produits estimés sur l’année 2019, avec </w:t>
      </w:r>
      <w:r w:rsidR="002B09AD">
        <w:t>une part très importante de biodéchets et de boues liée notamment à l’agriculture</w:t>
      </w:r>
      <w:r w:rsidR="00026AB8" w:rsidRPr="00026AB8">
        <w:t>. 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66EE3283">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028D571A">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70E38B3" w14:textId="77777777" w:rsidR="002B09AD" w:rsidRPr="00551F7F" w:rsidRDefault="002B09AD" w:rsidP="002B09AD">
      <w:pPr>
        <w:pStyle w:val="Corpsdetexte"/>
        <w:spacing w:before="120" w:after="120"/>
      </w:pPr>
      <w:r>
        <w:t>L’absence sur le département d’incinérateur valorisant l’énergie thermique explique la faible part de valorisation énergétique et la part importante d’enfouissement des DAEndni. La plus grande représentation des biodéchets et boues explique un taux de valorisation organique supérieur au taux régional, tandis que la plus faible représentation du bois, des métaux et du papier/cartons explique la part limitée de valorisation matière.</w:t>
      </w:r>
    </w:p>
    <w:p w14:paraId="3B95C898" w14:textId="2F3E95F4" w:rsidR="008166BC" w:rsidRDefault="008166BC" w:rsidP="008166BC">
      <w:pPr>
        <w:pStyle w:val="Corpsdetexte"/>
      </w:pPr>
      <w:r>
        <w:rPr>
          <w:noProof/>
        </w:rPr>
        <w:drawing>
          <wp:anchor distT="0" distB="0" distL="114300" distR="114300" simplePos="0" relativeHeight="251659264" behindDoc="0" locked="0" layoutInCell="1" allowOverlap="1" wp14:anchorId="49B212A5" wp14:editId="15807485">
            <wp:simplePos x="0" y="0"/>
            <wp:positionH relativeFrom="margin">
              <wp:align>left</wp:align>
            </wp:positionH>
            <wp:positionV relativeFrom="paragraph">
              <wp:posOffset>11430</wp:posOffset>
            </wp:positionV>
            <wp:extent cx="3419475" cy="2752725"/>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t xml:space="preserve">Entre 2019 et 2020, on note une </w:t>
      </w:r>
      <w:r w:rsidR="00670032">
        <w:t>baisse significative des quantités enfouies (baisse de capacité d’un centre d’enfouissement et part de déchets des ménages plus important sur un second centre), au profit de la valorisation matière et organique</w:t>
      </w:r>
      <w:r>
        <w:t>.</w:t>
      </w:r>
    </w:p>
    <w:p w14:paraId="1651033A" w14:textId="4B19B12D" w:rsidR="008166BC" w:rsidRPr="00551F7F" w:rsidRDefault="00670032" w:rsidP="008166BC">
      <w:pPr>
        <w:pStyle w:val="Corpsdetexte"/>
      </w:pPr>
      <w:r>
        <w:t>Au-delà du contexte particulier de la Meuse, c</w:t>
      </w:r>
      <w:r w:rsidR="008166BC">
        <w:t xml:space="preserve">ette tendance est observée à l’échelle régionale, ce qui pourrait s’expliquer par le fait que la réduction des tonnages de déchets produits aurait en priorité concerné des tonnages dirigés vers l’enfouissement. </w:t>
      </w:r>
      <w:r w:rsidR="008166BC" w:rsidRPr="008166BC">
        <w:t>Les analyses 2021 et 2022 permettront d’évaluer la pérennité de cette tendance, fortement impactée par le contexte sanitaire.</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4AB157CB" w:rsidR="002D7D62" w:rsidRPr="00DD2940" w:rsidRDefault="003235A8" w:rsidP="002D7D62">
                          <w:pPr>
                            <w:rPr>
                              <w:color w:val="EBEBEB" w:themeColor="background2"/>
                              <w:sz w:val="72"/>
                            </w:rPr>
                          </w:pPr>
                          <w:r>
                            <w:rPr>
                              <w:color w:val="EBEBEB" w:themeColor="background2"/>
                              <w:sz w:val="72"/>
                            </w:rPr>
                            <w:t>M</w:t>
                          </w:r>
                          <w:r w:rsidR="00117742">
                            <w:rPr>
                              <w:color w:val="EBEBEB" w:themeColor="background2"/>
                              <w:sz w:val="72"/>
                            </w:rPr>
                            <w:t>euse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4AB157CB" w:rsidR="002D7D62" w:rsidRPr="00DD2940" w:rsidRDefault="003235A8" w:rsidP="002D7D62">
                    <w:pPr>
                      <w:rPr>
                        <w:color w:val="EBEBEB" w:themeColor="background2"/>
                        <w:sz w:val="72"/>
                      </w:rPr>
                    </w:pPr>
                    <w:r>
                      <w:rPr>
                        <w:color w:val="EBEBEB" w:themeColor="background2"/>
                        <w:sz w:val="72"/>
                      </w:rPr>
                      <w:t>M</w:t>
                    </w:r>
                    <w:r w:rsidR="00117742">
                      <w:rPr>
                        <w:color w:val="EBEBEB" w:themeColor="background2"/>
                        <w:sz w:val="72"/>
                      </w:rPr>
                      <w:t>euse</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70543D"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45.8pt;height:53.3pt" o:bullet="t">
        <v:imagedata r:id="rId1" o:title="Puce"/>
      </v:shape>
    </w:pict>
  </w:numPicBullet>
  <w:numPicBullet w:numPicBulletId="1">
    <w:pict>
      <v:shape id="_x0000_i1285" type="#_x0000_t75" style="width:45.8pt;height:53.3pt" o:bullet="t">
        <v:imagedata r:id="rId2" o:title="Puce_Bleue"/>
      </v:shape>
    </w:pict>
  </w:numPicBullet>
  <w:numPicBullet w:numPicBulletId="2">
    <w:pict>
      <v:shape id="_x0000_i1286"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17742"/>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B09AD"/>
    <w:rsid w:val="002C1470"/>
    <w:rsid w:val="002C386E"/>
    <w:rsid w:val="002C6D1C"/>
    <w:rsid w:val="002D4AB4"/>
    <w:rsid w:val="002D7D62"/>
    <w:rsid w:val="002E3C2A"/>
    <w:rsid w:val="002E6D32"/>
    <w:rsid w:val="002F2F2D"/>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0032"/>
    <w:rsid w:val="006717BA"/>
    <w:rsid w:val="006823A5"/>
    <w:rsid w:val="00682B84"/>
    <w:rsid w:val="00682C24"/>
    <w:rsid w:val="00693835"/>
    <w:rsid w:val="0069738E"/>
    <w:rsid w:val="006A0470"/>
    <w:rsid w:val="006B5BF1"/>
    <w:rsid w:val="006C2426"/>
    <w:rsid w:val="006D762B"/>
    <w:rsid w:val="006E3364"/>
    <w:rsid w:val="006E4612"/>
    <w:rsid w:val="00701C40"/>
    <w:rsid w:val="00706B2D"/>
    <w:rsid w:val="00707E89"/>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580A"/>
    <w:rsid w:val="008D1E0B"/>
    <w:rsid w:val="008E037E"/>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B37A2"/>
    <w:rsid w:val="00AC24FB"/>
    <w:rsid w:val="00AD1584"/>
    <w:rsid w:val="00AE322E"/>
    <w:rsid w:val="00AF1924"/>
    <w:rsid w:val="00AF4CF8"/>
    <w:rsid w:val="00AF4F53"/>
    <w:rsid w:val="00B03C68"/>
    <w:rsid w:val="00B1721A"/>
    <w:rsid w:val="00B17FC6"/>
    <w:rsid w:val="00B317A5"/>
    <w:rsid w:val="00B40BCF"/>
    <w:rsid w:val="00B43915"/>
    <w:rsid w:val="00B469B7"/>
    <w:rsid w:val="00B478A9"/>
    <w:rsid w:val="00B47C08"/>
    <w:rsid w:val="00B50105"/>
    <w:rsid w:val="00B54C56"/>
    <w:rsid w:val="00B567D3"/>
    <w:rsid w:val="00B65BA1"/>
    <w:rsid w:val="00B803B6"/>
    <w:rsid w:val="00B8067B"/>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A07FB"/>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83F43"/>
    <w:rsid w:val="00D97413"/>
    <w:rsid w:val="00DA6854"/>
    <w:rsid w:val="00DA7C0B"/>
    <w:rsid w:val="00DB2BA3"/>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Meuse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Meuse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3.5141664836371544E-2"/>
                  <c:y val="-7.0596540769502295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9222</c:v>
                </c:pt>
                <c:pt idx="1">
                  <c:v>3132</c:v>
                </c:pt>
                <c:pt idx="2">
                  <c:v>41828</c:v>
                </c:pt>
                <c:pt idx="3">
                  <c:v>1331</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Meuse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0.38027501851520396</c:v>
                </c:pt>
                <c:pt idx="1">
                  <c:v>0.47798410751180698</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0.27291968733294997</c:v>
                </c:pt>
                <c:pt idx="1">
                  <c:v>0.42235314469439006</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dLbl>
              <c:idx val="1"/>
              <c:layout>
                <c:manualLayout>
                  <c:x val="-0.12627669452181986"/>
                  <c:y val="-4.61361014994233E-3"/>
                </c:manualLayout>
              </c:layout>
              <c:spPr>
                <a:noFill/>
                <a:ln>
                  <a:noFill/>
                </a:ln>
                <a:effectLst/>
              </c:spPr>
              <c:txPr>
                <a:bodyPr rot="0" spcFirstLastPara="1" vertOverflow="ellipsis" vert="horz" wrap="square" anchor="ctr" anchorCtr="1"/>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F3-4C8F-8CE1-DC6E5F92DC01}"/>
                </c:ext>
              </c:extLst>
            </c:dLbl>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3.66688071322121E-2</c:v>
                </c:pt>
                <c:pt idx="1">
                  <c:v>3.0535403512295112E-2</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0.31013648701963414</c:v>
                </c:pt>
                <c:pt idx="1">
                  <c:v>6.9127344281507769E-2</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Meuse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Meuse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394</c:v>
                </c:pt>
                <c:pt idx="1">
                  <c:v>498</c:v>
                </c:pt>
                <c:pt idx="2">
                  <c:v>2519</c:v>
                </c:pt>
                <c:pt idx="3">
                  <c:v>74</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Meuse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9430</c:v>
                </c:pt>
                <c:pt idx="1">
                  <c:v>9222</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3059</c:v>
                </c:pt>
                <c:pt idx="1">
                  <c:v>3132</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42406</c:v>
                </c:pt>
                <c:pt idx="1">
                  <c:v>41828</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1266</c:v>
                </c:pt>
                <c:pt idx="1">
                  <c:v>1331</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56161</c:v>
                </c:pt>
                <c:pt idx="1">
                  <c:v>55513</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Meuse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34537.81</c:v>
                </c:pt>
                <c:pt idx="1">
                  <c:v>12431.789999999999</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elete val="1"/>
          </c:dLbls>
          <c:cat>
            <c:numRef>
              <c:f>Synthèse!$F$246:$G$246</c:f>
              <c:numCache>
                <c:formatCode>General</c:formatCode>
                <c:ptCount val="2"/>
                <c:pt idx="0">
                  <c:v>2019</c:v>
                </c:pt>
                <c:pt idx="1">
                  <c:v>2020</c:v>
                </c:pt>
              </c:numCache>
            </c:numRef>
          </c:cat>
          <c:val>
            <c:numRef>
              <c:f>Synthèse!$F$248:$G$248</c:f>
              <c:numCache>
                <c:formatCode>#\ ###\ ##0_-\t</c:formatCode>
                <c:ptCount val="2"/>
                <c:pt idx="0">
                  <c:v>0</c:v>
                </c:pt>
                <c:pt idx="1">
                  <c:v>0</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28459.980216010063</c:v>
                </c:pt>
                <c:pt idx="1">
                  <c:v>23853.952586812055</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3.8047362348342407E-17"/>
                  <c:y val="1.08459869848156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F4-444A-9831-BAA9746B914C}"/>
                </c:ext>
              </c:extLst>
            </c:dLbl>
            <c:dLbl>
              <c:idx val="1"/>
              <c:layout>
                <c:manualLayout>
                  <c:x val="7.6094724696684813E-17"/>
                  <c:y val="1.08459869848156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F4-444A-9831-BAA9746B914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2282.7291755275951</c:v>
                </c:pt>
                <c:pt idx="1">
                  <c:v>1986.2682739251416</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6174.2864379495531</c:v>
                </c:pt>
                <c:pt idx="1">
                  <c:v>7714.4271918362483</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elete val="1"/>
          </c:dLbls>
          <c:cat>
            <c:numRef>
              <c:f>Synthèse!$F$246:$G$246</c:f>
              <c:numCache>
                <c:formatCode>General</c:formatCode>
                <c:ptCount val="2"/>
                <c:pt idx="0">
                  <c:v>2019</c:v>
                </c:pt>
                <c:pt idx="1">
                  <c:v>2020</c:v>
                </c:pt>
              </c:numCache>
            </c:numRef>
          </c:cat>
          <c:val>
            <c:numRef>
              <c:f>Synthèse!$F$252:$G$252</c:f>
              <c:numCache>
                <c:formatCode>#\ ###\ ##0_-\t</c:formatCode>
                <c:ptCount val="2"/>
                <c:pt idx="0">
                  <c:v>0</c:v>
                </c:pt>
                <c:pt idx="1">
                  <c:v>0</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elete val="1"/>
          </c:dLbls>
          <c:cat>
            <c:numRef>
              <c:f>Synthèse!$F$246:$G$246</c:f>
              <c:numCache>
                <c:formatCode>General</c:formatCode>
                <c:ptCount val="2"/>
                <c:pt idx="0">
                  <c:v>2019</c:v>
                </c:pt>
                <c:pt idx="1">
                  <c:v>2020</c:v>
                </c:pt>
              </c:numCache>
            </c:numRef>
          </c:cat>
          <c:val>
            <c:numRef>
              <c:f>Synthèse!$F$253:$G$253</c:f>
              <c:numCache>
                <c:formatCode>#\ ###\ ##0_-\t</c:formatCode>
                <c:ptCount val="2"/>
                <c:pt idx="0">
                  <c:v>0</c:v>
                </c:pt>
                <c:pt idx="1">
                  <c:v>0</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6584.0162993087415</c:v>
                </c:pt>
                <c:pt idx="1">
                  <c:v>6278.3503290051767</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10764.940000000002</c:v>
                </c:pt>
                <c:pt idx="1">
                  <c:v>8690.0370000000003</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17522.579999999998</c:v>
                </c:pt>
                <c:pt idx="1">
                  <c:v>15408.429999999998</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elete val="1"/>
          </c:dLbls>
          <c:cat>
            <c:numRef>
              <c:f>Synthèse!$F$246:$G$246</c:f>
              <c:numCache>
                <c:formatCode>General</c:formatCode>
                <c:ptCount val="2"/>
                <c:pt idx="0">
                  <c:v>2019</c:v>
                </c:pt>
                <c:pt idx="1">
                  <c:v>2020</c:v>
                </c:pt>
              </c:numCache>
            </c:numRef>
          </c:cat>
          <c:val>
            <c:numRef>
              <c:f>Synthèse!$F$258:$G$258</c:f>
              <c:numCache>
                <c:formatCode>#\ ###\ ##0_-\t</c:formatCode>
                <c:ptCount val="2"/>
                <c:pt idx="0">
                  <c:v>0</c:v>
                </c:pt>
                <c:pt idx="1">
                  <c:v>0</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106326.34212879596</c:v>
                </c:pt>
                <c:pt idx="1">
                  <c:v>76363.255381578609</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0"/>
        <c:delete val="1"/>
      </c:legendEntry>
      <c:legendEntry>
        <c:idx val="3"/>
        <c:delete val="1"/>
      </c:legendEntry>
      <c:legendEntry>
        <c:idx val="5"/>
        <c:delete val="1"/>
      </c:legendEntry>
      <c:legendEntry>
        <c:idx val="6"/>
        <c:delete val="1"/>
      </c:legendEntry>
      <c:legendEntry>
        <c:idx val="10"/>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Meuse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Synthèse!$H$293:$I$293</c:f>
              <c:numCache>
                <c:formatCode>0%</c:formatCode>
                <c:ptCount val="2"/>
                <c:pt idx="0">
                  <c:v>0.18252113702973594</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Meuse</c:v>
                </c:pt>
                <c:pt idx="1">
                  <c:v>Grand Est</c:v>
                </c:pt>
              </c:strCache>
            </c:strRef>
          </c:cat>
          <c:val>
            <c:numRef>
              <c:f>Synthèse!$H$294:$I$294</c:f>
              <c:numCache>
                <c:formatCode>0%</c:formatCode>
                <c:ptCount val="2"/>
                <c:pt idx="0">
                  <c:v>1.7552195919904993E-4</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Synthèse!$H$295:$I$295</c:f>
              <c:numCache>
                <c:formatCode>0%</c:formatCode>
                <c:ptCount val="2"/>
                <c:pt idx="0">
                  <c:v>0.2863529228733771</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Synthèse!$H$296:$I$296</c:f>
              <c:numCache>
                <c:formatCode>0%</c:formatCode>
                <c:ptCount val="2"/>
                <c:pt idx="0">
                  <c:v>2.3862032727733067E-2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Synthèse!$H$297:$I$297</c:f>
              <c:numCache>
                <c:formatCode>0%</c:formatCode>
                <c:ptCount val="2"/>
                <c:pt idx="0">
                  <c:v>9.2466038727232469E-2</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Synthèse!$H$300:$I$300</c:f>
              <c:numCache>
                <c:formatCode>0%</c:formatCode>
                <c:ptCount val="2"/>
                <c:pt idx="0">
                  <c:v>7.5253662738664032E-2</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Synthèse!$H$302:$I$302</c:f>
              <c:numCache>
                <c:formatCode>0%</c:formatCode>
                <c:ptCount val="2"/>
                <c:pt idx="0">
                  <c:v>0.13585650468053051</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Synthèse!$H$303:$I$303</c:f>
              <c:numCache>
                <c:formatCode>0%</c:formatCode>
                <c:ptCount val="2"/>
                <c:pt idx="0">
                  <c:v>0.20351026891335544</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Meuse</c:v>
                </c:pt>
                <c:pt idx="1">
                  <c:v>Grand Est</c:v>
                </c:pt>
              </c:strCache>
            </c:strRef>
          </c:cat>
          <c:val>
            <c:numRef>
              <c:f>Synthèse!$H$304:$I$304</c:f>
              <c:numCache>
                <c:formatCode>0.0%</c:formatCode>
                <c:ptCount val="2"/>
                <c:pt idx="0">
                  <c:v>0</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Meuse</c:v>
                      </c:pt>
                      <c:pt idx="1">
                        <c:v>Grand Est</c:v>
                      </c:pt>
                    </c:strCache>
                  </c:strRef>
                </c:cat>
                <c:val>
                  <c:numRef>
                    <c:extLst>
                      <c:ext uri="{02D57815-91ED-43cb-92C2-25804820EDAC}">
                        <c15:formulaRef>
                          <c15:sqref>Synthèse!$H$298:$I$298</c15:sqref>
                        </c15:formulaRef>
                      </c:ext>
                    </c:extLst>
                    <c:numCache>
                      <c:formatCode>0.0%</c:formatCode>
                      <c:ptCount val="2"/>
                      <c:pt idx="0">
                        <c:v>0</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Meuse</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1.9103501723826548E-6</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Meuse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Meuse</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dLbl>
              <c:idx val="2"/>
              <c:layout>
                <c:manualLayout>
                  <c:x val="-7.9382579933847855E-2"/>
                  <c:y val="-9.70231532524807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0.47798410751180698</c:v>
                </c:pt>
                <c:pt idx="1">
                  <c:v>0.42235314469439006</c:v>
                </c:pt>
                <c:pt idx="2">
                  <c:v>3.0535403512295112E-2</c:v>
                </c:pt>
                <c:pt idx="3">
                  <c:v>6.9127344281507769E-2</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Props1.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2.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4.xml><?xml version="1.0" encoding="utf-8"?>
<ds:datastoreItem xmlns:ds="http://schemas.openxmlformats.org/officeDocument/2006/customXml" ds:itemID="{C0020386-8827-4A58-B63F-0F5A961E96B8}">
  <ds:schemaRefs>
    <ds:schemaRef ds:uri="4a3adf83-4159-48c2-b191-a10bc88d810d"/>
    <ds:schemaRef ds:uri="http://www.w3.org/XML/1998/namespace"/>
    <ds:schemaRef ds:uri="http://purl.org/dc/elements/1.1/"/>
    <ds:schemaRef ds:uri="http://purl.org/dc/terms/"/>
    <ds:schemaRef ds:uri="f62a26c4-aace-4fc9-80a7-ab28e1be8723"/>
    <ds:schemaRef ds:uri="http://schemas.microsoft.com/office/2006/documentManagement/types"/>
    <ds:schemaRef ds:uri="http://purl.org/dc/dcmitype/"/>
    <ds:schemaRef ds:uri="http://schemas.microsoft.com/office/2006/metadata/properties"/>
    <ds:schemaRef ds:uri="66095bee-5dc8-457d-bf6f-f80c5fc40eda"/>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6</cp:revision>
  <dcterms:created xsi:type="dcterms:W3CDTF">2022-08-05T12:55:00Z</dcterms:created>
  <dcterms:modified xsi:type="dcterms:W3CDTF">2022-08-22T12:13:00Z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