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36FCD843" w:rsidR="00D5544D" w:rsidRPr="00D5544D" w:rsidRDefault="008A34AD"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 </w:t>
            </w:r>
            <w:r w:rsidR="009722C6">
              <w:rPr>
                <w:rFonts w:asciiTheme="majorHAnsi" w:hAnsiTheme="majorHAnsi"/>
                <w:color w:val="1598D9" w:themeColor="accent2"/>
                <w:sz w:val="36"/>
                <w:szCs w:val="36"/>
              </w:rPr>
              <w:t>Meurthe-et-Moselle</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8A34AD"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5F530A3F">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2A2A2648" w:rsidR="00837091" w:rsidRDefault="009722C6" w:rsidP="008F2F62">
            <w:pPr>
              <w:pStyle w:val="Corpsdetexte"/>
              <w:spacing w:before="120" w:after="0"/>
              <w:jc w:val="center"/>
            </w:pPr>
            <w:r>
              <w:rPr>
                <w:noProof/>
              </w:rPr>
              <w:drawing>
                <wp:inline distT="0" distB="0" distL="0" distR="0" wp14:anchorId="2E0B6CE7" wp14:editId="075D9E1B">
                  <wp:extent cx="1468105"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7"/>
                          </a:xfrm>
                          <a:prstGeom prst="rect">
                            <a:avLst/>
                          </a:prstGeom>
                        </pic:spPr>
                      </pic:pic>
                    </a:graphicData>
                  </a:graphic>
                </wp:inline>
              </w:drawing>
            </w:r>
          </w:p>
          <w:p w14:paraId="5FD54401" w14:textId="252128B2" w:rsidR="00A10FFA" w:rsidRPr="00A10FFA" w:rsidRDefault="009722C6" w:rsidP="00A10FFA">
            <w:pPr>
              <w:pStyle w:val="Corpsdetexte"/>
              <w:spacing w:before="120" w:after="0"/>
              <w:jc w:val="center"/>
              <w:rPr>
                <w:b/>
                <w:bCs/>
              </w:rPr>
            </w:pPr>
            <w:r>
              <w:rPr>
                <w:b/>
                <w:bCs/>
              </w:rPr>
              <w:t>Meurthe-et-Moselle</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9722C6" w:rsidRPr="008F2F62" w14:paraId="5EC92056" w14:textId="77777777" w:rsidTr="009722C6">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61BBFFD9"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734 051 (- 0,0 %)</w:t>
            </w:r>
          </w:p>
        </w:tc>
        <w:tc>
          <w:tcPr>
            <w:tcW w:w="907" w:type="dxa"/>
            <w:tcBorders>
              <w:top w:val="nil"/>
              <w:left w:val="nil"/>
              <w:bottom w:val="single" w:sz="4" w:space="0" w:color="D2D2D2"/>
              <w:right w:val="nil"/>
            </w:tcBorders>
            <w:shd w:val="clear" w:color="000000" w:fill="FFFFFF"/>
            <w:noWrap/>
            <w:vAlign w:val="center"/>
            <w:hideMark/>
          </w:tcPr>
          <w:p w14:paraId="13942E9A" w14:textId="01DB197C"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13,2 %</w:t>
            </w:r>
          </w:p>
        </w:tc>
        <w:tc>
          <w:tcPr>
            <w:tcW w:w="1510" w:type="dxa"/>
            <w:vMerge w:val="restart"/>
            <w:tcBorders>
              <w:top w:val="nil"/>
              <w:left w:val="nil"/>
              <w:bottom w:val="nil"/>
              <w:right w:val="nil"/>
            </w:tcBorders>
            <w:shd w:val="clear" w:color="000000" w:fill="D9D9D9"/>
            <w:vAlign w:val="center"/>
            <w:hideMark/>
          </w:tcPr>
          <w:p w14:paraId="36CC82F7" w14:textId="641D4A12" w:rsidR="009722C6" w:rsidRPr="008F2F62" w:rsidRDefault="009722C6" w:rsidP="009722C6">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9722C6" w:rsidRPr="008F2F62" w14:paraId="78CE9338" w14:textId="77777777" w:rsidTr="009722C6">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77A9AF5A"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243 301 (+ 0,0 %)</w:t>
            </w:r>
          </w:p>
        </w:tc>
        <w:tc>
          <w:tcPr>
            <w:tcW w:w="907" w:type="dxa"/>
            <w:tcBorders>
              <w:top w:val="nil"/>
              <w:left w:val="nil"/>
              <w:bottom w:val="single" w:sz="4" w:space="0" w:color="D2D2D2"/>
              <w:right w:val="nil"/>
            </w:tcBorders>
            <w:shd w:val="clear" w:color="000000" w:fill="FFFFFF"/>
            <w:noWrap/>
            <w:vAlign w:val="center"/>
            <w:hideMark/>
          </w:tcPr>
          <w:p w14:paraId="11BB692E" w14:textId="2B453784"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12,6 %</w:t>
            </w:r>
          </w:p>
        </w:tc>
        <w:tc>
          <w:tcPr>
            <w:tcW w:w="1510" w:type="dxa"/>
            <w:vMerge/>
            <w:tcBorders>
              <w:top w:val="nil"/>
              <w:left w:val="nil"/>
              <w:bottom w:val="nil"/>
              <w:right w:val="nil"/>
            </w:tcBorders>
            <w:vAlign w:val="center"/>
            <w:hideMark/>
          </w:tcPr>
          <w:p w14:paraId="5DBEB910" w14:textId="77777777" w:rsidR="009722C6" w:rsidRPr="008F2F62" w:rsidRDefault="009722C6" w:rsidP="009722C6">
            <w:pPr>
              <w:spacing w:line="240" w:lineRule="auto"/>
              <w:rPr>
                <w:rFonts w:ascii="Century Gothic" w:eastAsia="Times New Roman" w:hAnsi="Century Gothic" w:cs="Times New Roman"/>
                <w:b/>
                <w:bCs/>
                <w:color w:val="FFFFFF"/>
                <w:szCs w:val="20"/>
                <w:lang w:eastAsia="fr-FR"/>
              </w:rPr>
            </w:pPr>
          </w:p>
        </w:tc>
      </w:tr>
      <w:tr w:rsidR="009722C6" w:rsidRPr="008F2F62" w14:paraId="6C3DD9D7" w14:textId="77777777" w:rsidTr="009722C6">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67E2204E"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15 288 (- 0,4 %)</w:t>
            </w:r>
          </w:p>
        </w:tc>
        <w:tc>
          <w:tcPr>
            <w:tcW w:w="907" w:type="dxa"/>
            <w:tcBorders>
              <w:top w:val="nil"/>
              <w:left w:val="nil"/>
              <w:bottom w:val="single" w:sz="4" w:space="0" w:color="D2D2D2"/>
              <w:right w:val="nil"/>
            </w:tcBorders>
            <w:shd w:val="clear" w:color="000000" w:fill="FFFFFF"/>
            <w:noWrap/>
            <w:vAlign w:val="center"/>
            <w:hideMark/>
          </w:tcPr>
          <w:p w14:paraId="38A28D55" w14:textId="7F676FAC"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11,7 %</w:t>
            </w:r>
          </w:p>
        </w:tc>
        <w:tc>
          <w:tcPr>
            <w:tcW w:w="1510" w:type="dxa"/>
            <w:vMerge/>
            <w:tcBorders>
              <w:top w:val="nil"/>
              <w:left w:val="nil"/>
              <w:bottom w:val="nil"/>
              <w:right w:val="nil"/>
            </w:tcBorders>
            <w:vAlign w:val="center"/>
            <w:hideMark/>
          </w:tcPr>
          <w:p w14:paraId="4F14CE5E" w14:textId="77777777" w:rsidR="009722C6" w:rsidRPr="008F2F62" w:rsidRDefault="009722C6" w:rsidP="009722C6">
            <w:pPr>
              <w:spacing w:line="240" w:lineRule="auto"/>
              <w:rPr>
                <w:rFonts w:ascii="Century Gothic" w:eastAsia="Times New Roman" w:hAnsi="Century Gothic" w:cs="Times New Roman"/>
                <w:b/>
                <w:bCs/>
                <w:color w:val="FFFFFF"/>
                <w:szCs w:val="20"/>
                <w:lang w:eastAsia="fr-FR"/>
              </w:rPr>
            </w:pPr>
          </w:p>
        </w:tc>
      </w:tr>
      <w:tr w:rsidR="009722C6" w:rsidRPr="008F2F62" w14:paraId="340F9EA3" w14:textId="77777777" w:rsidTr="009722C6">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6F1AEEA5"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463 250 (+ 0,0 %)</w:t>
            </w:r>
          </w:p>
        </w:tc>
        <w:tc>
          <w:tcPr>
            <w:tcW w:w="907" w:type="dxa"/>
            <w:tcBorders>
              <w:top w:val="nil"/>
              <w:left w:val="nil"/>
              <w:bottom w:val="single" w:sz="4" w:space="0" w:color="D2D2D2"/>
              <w:right w:val="nil"/>
            </w:tcBorders>
            <w:shd w:val="clear" w:color="000000" w:fill="FFFFFF"/>
            <w:noWrap/>
            <w:vAlign w:val="center"/>
            <w:hideMark/>
          </w:tcPr>
          <w:p w14:paraId="2B98A726" w14:textId="40B0F39A"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9,4 %</w:t>
            </w:r>
          </w:p>
        </w:tc>
        <w:tc>
          <w:tcPr>
            <w:tcW w:w="1510" w:type="dxa"/>
            <w:vMerge/>
            <w:tcBorders>
              <w:top w:val="nil"/>
              <w:left w:val="nil"/>
              <w:bottom w:val="nil"/>
              <w:right w:val="nil"/>
            </w:tcBorders>
            <w:vAlign w:val="center"/>
            <w:hideMark/>
          </w:tcPr>
          <w:p w14:paraId="1A5117ED" w14:textId="77777777" w:rsidR="009722C6" w:rsidRPr="008F2F62" w:rsidRDefault="009722C6" w:rsidP="009722C6">
            <w:pPr>
              <w:spacing w:line="240" w:lineRule="auto"/>
              <w:rPr>
                <w:rFonts w:ascii="Century Gothic" w:eastAsia="Times New Roman" w:hAnsi="Century Gothic" w:cs="Times New Roman"/>
                <w:b/>
                <w:bCs/>
                <w:color w:val="FFFFFF"/>
                <w:szCs w:val="20"/>
                <w:lang w:eastAsia="fr-FR"/>
              </w:rPr>
            </w:pPr>
          </w:p>
        </w:tc>
      </w:tr>
      <w:tr w:rsidR="009722C6" w:rsidRPr="008F2F62" w14:paraId="7AA4AF07" w14:textId="77777777" w:rsidTr="009722C6">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05886E0B"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236 105 t</w:t>
            </w:r>
          </w:p>
        </w:tc>
        <w:tc>
          <w:tcPr>
            <w:tcW w:w="907" w:type="dxa"/>
            <w:tcBorders>
              <w:top w:val="nil"/>
              <w:left w:val="nil"/>
              <w:bottom w:val="single" w:sz="4" w:space="0" w:color="D2D2D2"/>
              <w:right w:val="nil"/>
            </w:tcBorders>
            <w:shd w:val="clear" w:color="000000" w:fill="FFFFFF"/>
            <w:noWrap/>
            <w:vAlign w:val="center"/>
            <w:hideMark/>
          </w:tcPr>
          <w:p w14:paraId="4B25611E" w14:textId="341EE3C9"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9,0 %</w:t>
            </w:r>
          </w:p>
        </w:tc>
        <w:tc>
          <w:tcPr>
            <w:tcW w:w="1510" w:type="dxa"/>
            <w:vMerge/>
            <w:tcBorders>
              <w:top w:val="nil"/>
              <w:left w:val="nil"/>
              <w:bottom w:val="nil"/>
              <w:right w:val="nil"/>
            </w:tcBorders>
            <w:vAlign w:val="center"/>
            <w:hideMark/>
          </w:tcPr>
          <w:p w14:paraId="740B901D" w14:textId="77777777" w:rsidR="009722C6" w:rsidRPr="008F2F62" w:rsidRDefault="009722C6" w:rsidP="009722C6">
            <w:pPr>
              <w:spacing w:line="240" w:lineRule="auto"/>
              <w:rPr>
                <w:rFonts w:ascii="Century Gothic" w:eastAsia="Times New Roman" w:hAnsi="Century Gothic" w:cs="Times New Roman"/>
                <w:b/>
                <w:bCs/>
                <w:color w:val="FFFFFF"/>
                <w:szCs w:val="20"/>
                <w:lang w:eastAsia="fr-FR"/>
              </w:rPr>
            </w:pPr>
          </w:p>
        </w:tc>
      </w:tr>
      <w:tr w:rsidR="009722C6" w:rsidRPr="008F2F62" w14:paraId="4CADD36E" w14:textId="77777777" w:rsidTr="009722C6">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6F49356C"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77 %</w:t>
            </w:r>
          </w:p>
        </w:tc>
        <w:tc>
          <w:tcPr>
            <w:tcW w:w="907" w:type="dxa"/>
            <w:tcBorders>
              <w:top w:val="nil"/>
              <w:left w:val="nil"/>
              <w:bottom w:val="single" w:sz="4" w:space="0" w:color="D2D2D2"/>
              <w:right w:val="nil"/>
            </w:tcBorders>
            <w:shd w:val="clear" w:color="000000" w:fill="FFFFFF"/>
            <w:noWrap/>
            <w:vAlign w:val="center"/>
            <w:hideMark/>
          </w:tcPr>
          <w:p w14:paraId="5252CA16" w14:textId="3F14240B"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9722C6" w:rsidRPr="008F2F62" w:rsidRDefault="009722C6" w:rsidP="009722C6">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9722C6" w:rsidRPr="008F2F62" w14:paraId="50CB4E74" w14:textId="77777777" w:rsidTr="009722C6">
        <w:trPr>
          <w:trHeight w:val="270"/>
        </w:trPr>
        <w:tc>
          <w:tcPr>
            <w:tcW w:w="4706" w:type="dxa"/>
            <w:tcBorders>
              <w:top w:val="nil"/>
              <w:left w:val="nil"/>
              <w:bottom w:val="nil"/>
              <w:right w:val="nil"/>
            </w:tcBorders>
            <w:shd w:val="clear" w:color="000000" w:fill="FFFFFF"/>
            <w:noWrap/>
            <w:vAlign w:val="center"/>
            <w:hideMark/>
          </w:tcPr>
          <w:p w14:paraId="43950DBC" w14:textId="05127F27" w:rsidR="009722C6" w:rsidRPr="008F2F62" w:rsidRDefault="009722C6" w:rsidP="009722C6">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54764F88" w:rsidR="009722C6" w:rsidRPr="009722C6" w:rsidRDefault="009722C6" w:rsidP="009722C6">
            <w:pPr>
              <w:spacing w:line="240" w:lineRule="auto"/>
              <w:jc w:val="center"/>
              <w:rPr>
                <w:rFonts w:ascii="Century Gothic" w:eastAsia="Times New Roman" w:hAnsi="Century Gothic" w:cs="Times New Roman"/>
                <w:b/>
                <w:bCs/>
                <w:color w:val="1598D9" w:themeColor="accent2"/>
                <w:szCs w:val="20"/>
                <w:lang w:eastAsia="fr-FR"/>
              </w:rPr>
            </w:pPr>
            <w:r w:rsidRPr="009722C6">
              <w:rPr>
                <w:b/>
                <w:bCs/>
                <w:color w:val="1598D9" w:themeColor="accent2"/>
              </w:rPr>
              <w:t>9 %</w:t>
            </w:r>
          </w:p>
        </w:tc>
        <w:tc>
          <w:tcPr>
            <w:tcW w:w="907" w:type="dxa"/>
            <w:tcBorders>
              <w:top w:val="nil"/>
              <w:left w:val="nil"/>
              <w:bottom w:val="nil"/>
              <w:right w:val="nil"/>
            </w:tcBorders>
            <w:shd w:val="clear" w:color="000000" w:fill="FFFFFF"/>
            <w:noWrap/>
            <w:vAlign w:val="center"/>
            <w:hideMark/>
          </w:tcPr>
          <w:p w14:paraId="5C8EDE1F" w14:textId="7E167B96" w:rsidR="009722C6" w:rsidRPr="009722C6" w:rsidRDefault="009722C6" w:rsidP="009722C6">
            <w:pPr>
              <w:spacing w:line="240" w:lineRule="auto"/>
              <w:jc w:val="center"/>
              <w:rPr>
                <w:rFonts w:ascii="Century Gothic" w:eastAsia="Times New Roman" w:hAnsi="Century Gothic" w:cs="Times New Roman"/>
                <w:b/>
                <w:bCs/>
                <w:color w:val="005293" w:themeColor="accent1"/>
                <w:szCs w:val="20"/>
                <w:lang w:eastAsia="fr-FR"/>
              </w:rPr>
            </w:pPr>
            <w:r w:rsidRPr="009722C6">
              <w:rPr>
                <w:b/>
                <w:bCs/>
                <w:color w:val="005293" w:themeColor="accent1"/>
              </w:rPr>
              <w:t>10 %</w:t>
            </w:r>
          </w:p>
        </w:tc>
        <w:tc>
          <w:tcPr>
            <w:tcW w:w="1510" w:type="dxa"/>
            <w:vMerge/>
            <w:tcBorders>
              <w:top w:val="nil"/>
              <w:left w:val="nil"/>
              <w:bottom w:val="nil"/>
              <w:right w:val="nil"/>
            </w:tcBorders>
            <w:vAlign w:val="center"/>
            <w:hideMark/>
          </w:tcPr>
          <w:p w14:paraId="6FEC216D" w14:textId="77777777" w:rsidR="009722C6" w:rsidRPr="008F2F62" w:rsidRDefault="009722C6" w:rsidP="009722C6">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219E2C51">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1EB3D4AC">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141CF456">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0B9250DB">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0167C5" w14:textId="2462A19C" w:rsidR="00D60126" w:rsidRDefault="00D60126" w:rsidP="002C6D1C">
      <w:pPr>
        <w:pStyle w:val="Corpsdetexte"/>
      </w:pPr>
      <w:r>
        <w:rPr>
          <w:noProof/>
        </w:rPr>
        <w:lastRenderedPageBreak/>
        <w:drawing>
          <wp:anchor distT="0" distB="0" distL="114300" distR="114300" simplePos="0" relativeHeight="251658240" behindDoc="0" locked="0" layoutInCell="1" allowOverlap="1" wp14:anchorId="4DC33E20" wp14:editId="76DEABAB">
            <wp:simplePos x="0" y="0"/>
            <wp:positionH relativeFrom="margin">
              <wp:align>left</wp:align>
            </wp:positionH>
            <wp:positionV relativeFrom="paragraph">
              <wp:posOffset>13335</wp:posOffset>
            </wp:positionV>
            <wp:extent cx="3790950" cy="23145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C690402" w14:textId="2A5CBBDE" w:rsidR="002C6D1C" w:rsidRDefault="002C6D1C" w:rsidP="002C6D1C">
      <w:pPr>
        <w:pStyle w:val="Corpsdetexte"/>
      </w:pPr>
      <w:r>
        <w:t>Le nombre de salariés sur le département est en légère baisse entre 2019 et 2020, ce qui s’explique par la crise sanitaire de 2020.</w:t>
      </w:r>
    </w:p>
    <w:p w14:paraId="4D3DC810" w14:textId="10228320" w:rsidR="002C6D1C" w:rsidRDefault="002C6D1C" w:rsidP="002C6D1C">
      <w:pPr>
        <w:pStyle w:val="Corpsdetexte"/>
      </w:pPr>
      <w:r>
        <w:t>Le</w:t>
      </w:r>
      <w:r w:rsidR="002E6D32">
        <w:t xml:space="preserve"> nombre de</w:t>
      </w:r>
      <w:r>
        <w:t xml:space="preserve"> salariés de l’agriculture et du BTP </w:t>
      </w:r>
      <w:r w:rsidR="002E6D32">
        <w:t>est</w:t>
      </w:r>
      <w:r>
        <w:t xml:space="preserve"> en augmentation, mais reste </w:t>
      </w:r>
      <w:r w:rsidR="009722C6">
        <w:t>inférieur</w:t>
      </w:r>
      <w:r>
        <w:t xml:space="preserve"> au tertiaire </w:t>
      </w:r>
      <w:r w:rsidR="009722C6">
        <w:t>(majoritaire) et à l</w:t>
      </w:r>
      <w:r>
        <w:t>'industrie.</w:t>
      </w:r>
    </w:p>
    <w:p w14:paraId="170D27C9" w14:textId="77777777" w:rsidR="00D60126" w:rsidRDefault="00D60126" w:rsidP="002C6D1C">
      <w:pPr>
        <w:pStyle w:val="Corpsdetexte"/>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475BD559">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7F30FF79"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 xml:space="preserve">e </w:t>
      </w:r>
      <w:r w:rsidR="00DB5F04">
        <w:rPr>
          <w:b/>
          <w:bCs/>
          <w:noProof/>
        </w:rPr>
        <w:t>35</w:t>
      </w:r>
      <w:r w:rsidR="007774C7" w:rsidRPr="007774C7">
        <w:rPr>
          <w:b/>
          <w:bCs/>
          <w:noProof/>
        </w:rPr>
        <w:t> </w:t>
      </w:r>
      <w:r w:rsidR="00DB5F04">
        <w:rPr>
          <w:b/>
          <w:bCs/>
          <w:noProof/>
        </w:rPr>
        <w:t>2</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20EF8911" w14:textId="3665BE95"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w:t>
      </w:r>
      <w:r w:rsidR="00DB5F04">
        <w:t>506</w:t>
      </w:r>
      <w:r w:rsidR="009D7D3D">
        <w:t xml:space="preserve"> 000 t en 2019. </w:t>
      </w:r>
      <w:r w:rsidR="003A2A23">
        <w:rPr>
          <w:noProof/>
        </w:rPr>
        <w:t xml:space="preserve">En ajoutant les évolutions observées sur les tonnages de DAE assimilés aux déchets ménagers (- </w:t>
      </w:r>
      <w:r w:rsidR="00DB5F04">
        <w:rPr>
          <w:noProof/>
        </w:rPr>
        <w:t>2 200</w:t>
      </w:r>
      <w:r w:rsidR="000D1D70">
        <w:rPr>
          <w:noProof/>
        </w:rPr>
        <w:t xml:space="preserve"> t</w:t>
      </w:r>
      <w:r w:rsidR="003A2A23">
        <w:rPr>
          <w:noProof/>
        </w:rPr>
        <w:t>) ainsi que sur les tonnages de DAEndni gérés directement par les producteurs (</w:t>
      </w:r>
      <w:r w:rsidR="00DB5F04">
        <w:rPr>
          <w:noProof/>
        </w:rPr>
        <w:t xml:space="preserve">- 5 200 </w:t>
      </w:r>
      <w:r w:rsidR="000D1D70">
        <w:rPr>
          <w:noProof/>
        </w:rPr>
        <w:t>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DB5F04" w:rsidRPr="00DB5F04">
        <w:rPr>
          <w:b/>
          <w:bCs/>
          <w:noProof/>
        </w:rPr>
        <w:t>463</w:t>
      </w:r>
      <w:r w:rsidR="00083DF2" w:rsidRPr="00DB5F04">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47849C9B"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DB5F04">
        <w:rPr>
          <w:b/>
          <w:bCs/>
        </w:rPr>
        <w:t>236</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456DDCBB">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2C6562" w14:textId="75E0726D" w:rsidR="00026AB8" w:rsidRDefault="00DB5F04" w:rsidP="00736904">
      <w:pPr>
        <w:pStyle w:val="Corpsdetexte"/>
        <w:rPr>
          <w:rFonts w:asciiTheme="majorHAnsi" w:eastAsiaTheme="majorEastAsia" w:hAnsiTheme="majorHAnsi" w:cstheme="majorBidi"/>
          <w:color w:val="FFFFFF" w:themeColor="background1"/>
          <w:sz w:val="32"/>
          <w:szCs w:val="24"/>
        </w:rPr>
      </w:pPr>
      <w:r w:rsidRPr="00DB5F04">
        <w:t>Les déchets en mélange sont plus représentés dans les tonnages entrant en installation de traitement que dans le gisement estimé, ce qui s’explique par le fait que des types de déchets différents peuvent être mélangés avant d’arriver en installation de traitement.</w:t>
      </w:r>
      <w:r w:rsidR="00026AB8">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58F26E4B">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224E0B9F">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872676" w14:textId="77777777" w:rsidR="001D5508" w:rsidRPr="00551F7F" w:rsidRDefault="001D5508" w:rsidP="001D5508">
      <w:pPr>
        <w:pStyle w:val="Corpsdetexte"/>
      </w:pPr>
      <w:r>
        <w:t>La répartition des tonnages par mode de valorisation est très proche de la répartition régionale, avec un taux de valorisation matière supérieur du fait de la présence plus marquée de bois et de papiers/cartons dans les déchets produits.</w:t>
      </w:r>
    </w:p>
    <w:p w14:paraId="60DF862C" w14:textId="5F6AF89A" w:rsidR="008166BC" w:rsidRDefault="008166BC" w:rsidP="008166BC">
      <w:pPr>
        <w:pStyle w:val="Corpsdetexte"/>
      </w:pPr>
      <w:r>
        <w:rPr>
          <w:noProof/>
        </w:rPr>
        <w:drawing>
          <wp:anchor distT="0" distB="0" distL="114300" distR="114300" simplePos="0" relativeHeight="251659264" behindDoc="0" locked="0" layoutInCell="1" allowOverlap="1" wp14:anchorId="49B212A5" wp14:editId="2720A6D5">
            <wp:simplePos x="0" y="0"/>
            <wp:positionH relativeFrom="margin">
              <wp:align>left</wp:align>
            </wp:positionH>
            <wp:positionV relativeFrom="paragraph">
              <wp:posOffset>11430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3B95C898" w14:textId="5BAEE3EE" w:rsidR="008166BC" w:rsidRDefault="008166BC" w:rsidP="008166BC">
      <w:pPr>
        <w:pStyle w:val="Corpsdetexte"/>
      </w:pPr>
      <w:r>
        <w:t>Entre 2019 et 2020, on note une tendance à la hausse sur la part de valorisation matière, au détriment de l’enfouissement.</w:t>
      </w:r>
    </w:p>
    <w:p w14:paraId="1651033A" w14:textId="0F7B5BB8" w:rsidR="008166BC" w:rsidRPr="00551F7F" w:rsidRDefault="008166BC" w:rsidP="008166BC">
      <w:pPr>
        <w:pStyle w:val="Corpsdetexte"/>
      </w:pPr>
      <w:r>
        <w:t xml:space="preserve">Cette tendance est observée à l’échelle régionale, ce qui pourrait s’expliquer par le fait que la réduction des tonnages de déchets produits aurait en priorité concerné des tonnages dirigés vers l’enfouissement. </w:t>
      </w:r>
      <w:r w:rsidRPr="008166BC">
        <w:t>Les analyses 2021 et 2022 permettront d’évaluer la pérennité de cette tendance, fortement impactée par le contexte sanitaire.</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642FBFD4" w:rsidR="002D7D62" w:rsidRPr="00DD2940" w:rsidRDefault="003235A8" w:rsidP="002D7D62">
                          <w:pPr>
                            <w:rPr>
                              <w:color w:val="EBEBEB" w:themeColor="background2"/>
                              <w:sz w:val="72"/>
                            </w:rPr>
                          </w:pPr>
                          <w:r>
                            <w:rPr>
                              <w:color w:val="EBEBEB" w:themeColor="background2"/>
                              <w:sz w:val="72"/>
                            </w:rPr>
                            <w:t>M</w:t>
                          </w:r>
                          <w:r w:rsidR="00736904">
                            <w:rPr>
                              <w:color w:val="EBEBEB" w:themeColor="background2"/>
                              <w:sz w:val="72"/>
                            </w:rPr>
                            <w:t>eurthe-et-Moselle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642FBFD4" w:rsidR="002D7D62" w:rsidRPr="00DD2940" w:rsidRDefault="003235A8" w:rsidP="002D7D62">
                    <w:pPr>
                      <w:rPr>
                        <w:color w:val="EBEBEB" w:themeColor="background2"/>
                        <w:sz w:val="72"/>
                      </w:rPr>
                    </w:pPr>
                    <w:r>
                      <w:rPr>
                        <w:color w:val="EBEBEB" w:themeColor="background2"/>
                        <w:sz w:val="72"/>
                      </w:rPr>
                      <w:t>M</w:t>
                    </w:r>
                    <w:r w:rsidR="00736904">
                      <w:rPr>
                        <w:color w:val="EBEBEB" w:themeColor="background2"/>
                        <w:sz w:val="72"/>
                      </w:rPr>
                      <w:t>eurthe-et-Moselle</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35F4BF"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45.8pt;height:53.3pt" o:bullet="t">
        <v:imagedata r:id="rId1" o:title="Puce"/>
      </v:shape>
    </w:pict>
  </w:numPicBullet>
  <w:numPicBullet w:numPicBulletId="1">
    <w:pict>
      <v:shape id="_x0000_i1261" type="#_x0000_t75" style="width:45.8pt;height:53.3pt" o:bullet="t">
        <v:imagedata r:id="rId2" o:title="Puce_Bleue"/>
      </v:shape>
    </w:pict>
  </w:numPicBullet>
  <w:numPicBullet w:numPicBulletId="2">
    <w:pict>
      <v:shape id="_x0000_i1262"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D550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E6D32"/>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318A7"/>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6904"/>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34AD"/>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2C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511A"/>
    <w:rsid w:val="00A3688F"/>
    <w:rsid w:val="00A40195"/>
    <w:rsid w:val="00A447AB"/>
    <w:rsid w:val="00A50C5A"/>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60126"/>
    <w:rsid w:val="00D83F43"/>
    <w:rsid w:val="00D97413"/>
    <w:rsid w:val="00DA6854"/>
    <w:rsid w:val="00DA7C0B"/>
    <w:rsid w:val="00DB2BA3"/>
    <w:rsid w:val="00DB5F04"/>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Meurthe-et-Moselle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26415</c:v>
                </c:pt>
                <c:pt idx="1">
                  <c:v>12768</c:v>
                </c:pt>
                <c:pt idx="2">
                  <c:v>202628</c:v>
                </c:pt>
                <c:pt idx="3">
                  <c:v>1490</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0.65296315944146777</c:v>
                </c:pt>
                <c:pt idx="1">
                  <c:v>0.68881044288441784</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0.10404794616433459</c:v>
                </c:pt>
                <c:pt idx="1">
                  <c:v>7.8145543812988993E-2</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9.3973085905015311E-2</c:v>
                </c:pt>
                <c:pt idx="1">
                  <c:v>8.8438403803308988E-2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0.14901580848918228</c:v>
                </c:pt>
                <c:pt idx="1">
                  <c:v>0.14460560949928417</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Meurthe-et-Moselle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1269</c:v>
                </c:pt>
                <c:pt idx="1">
                  <c:v>1704</c:v>
                </c:pt>
                <c:pt idx="2">
                  <c:v>12222</c:v>
                </c:pt>
                <c:pt idx="3">
                  <c:v>93</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26755</c:v>
                </c:pt>
                <c:pt idx="1">
                  <c:v>26415</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dLbl>
              <c:idx val="0"/>
              <c:layout>
                <c:manualLayout>
                  <c:x val="-0.1708542713567839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69-41C5-A5B0-CAA8EDE368DD}"/>
                </c:ext>
              </c:extLst>
            </c:dLbl>
            <c:dLbl>
              <c:idx val="1"/>
              <c:layout>
                <c:manualLayout>
                  <c:x val="-0.17085427135678391"/>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69-41C5-A5B0-CAA8EDE368DD}"/>
                </c:ext>
              </c:extLst>
            </c:dLbl>
            <c:spPr>
              <a:noFill/>
              <a:ln>
                <a:noFill/>
              </a:ln>
              <a:effectLst/>
            </c:spPr>
            <c:txPr>
              <a:bodyPr rot="0" spcFirstLastPara="1" vertOverflow="ellipsis" vert="horz" wrap="square" anchor="ctr" anchorCtr="1"/>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12636</c:v>
                </c:pt>
                <c:pt idx="1">
                  <c:v>12768</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204260</c:v>
                </c:pt>
                <c:pt idx="1">
                  <c:v>202628</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1463</c:v>
                </c:pt>
                <c:pt idx="1">
                  <c:v>1490</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245114</c:v>
                </c:pt>
                <c:pt idx="1">
                  <c:v>243301</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61748.964042641564</c:v>
                </c:pt>
                <c:pt idx="1">
                  <c:v>54485.600929621112</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Lbl>
              <c:idx val="0"/>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F3-48D2-BC40-4C2C7D60B7D3}"/>
                </c:ext>
              </c:extLst>
            </c:dLbl>
            <c:dLbl>
              <c:idx val="1"/>
              <c:layout>
                <c:manualLayout>
                  <c:x val="7.5993105316543644E-2"/>
                  <c:y val="-1.354247205728442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Synthèse!$F$248:$G$248</c:f>
              <c:numCache>
                <c:formatCode>#\ ###\ ##0_-\t</c:formatCode>
                <c:ptCount val="2"/>
                <c:pt idx="0">
                  <c:v>20</c:v>
                </c:pt>
                <c:pt idx="1">
                  <c:v>12.8</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80237.773244936354</c:v>
                </c:pt>
                <c:pt idx="1">
                  <c:v>67147.517968063417</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3.8047362348342407E-17"/>
                  <c:y val="7.230657989877078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50-434A-8AB8-345D46473F36}"/>
                </c:ext>
              </c:extLst>
            </c:dLbl>
            <c:dLbl>
              <c:idx val="1"/>
              <c:layout>
                <c:manualLayout>
                  <c:x val="7.6094724696684813E-17"/>
                  <c:y val="7.230657989877012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50-434A-8AB8-345D46473F3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7746.4438718740312</c:v>
                </c:pt>
                <c:pt idx="1">
                  <c:v>6825.8989564494441</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45036.578146132604</c:v>
                </c:pt>
                <c:pt idx="1">
                  <c:v>46397.818638918267</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elete val="1"/>
          </c:dLbls>
          <c:cat>
            <c:numRef>
              <c:f>Synthèse!$F$246:$G$246</c:f>
              <c:numCache>
                <c:formatCode>General</c:formatCode>
                <c:ptCount val="2"/>
                <c:pt idx="0">
                  <c:v>2019</c:v>
                </c:pt>
                <c:pt idx="1">
                  <c:v>2020</c:v>
                </c:pt>
              </c:numCache>
            </c:numRef>
          </c:cat>
          <c:val>
            <c:numRef>
              <c:f>Synthèse!$F$252:$G$252</c:f>
              <c:numCache>
                <c:formatCode>#\ ###\ ##0_-\t</c:formatCode>
                <c:ptCount val="2"/>
                <c:pt idx="0">
                  <c:v>0</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Lbl>
              <c:idx val="0"/>
              <c:layout>
                <c:manualLayout>
                  <c:x val="9.697401501267670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3-48D2-BC40-4C2C7D60B7D3}"/>
                </c:ext>
              </c:extLst>
            </c:dLbl>
            <c:dLbl>
              <c:idx val="1"/>
              <c:layout>
                <c:manualLayout>
                  <c:x val="9.8821716497848267E-2"/>
                  <c:y val="-6.628026589858564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Synthèse!$F$253:$G$253</c:f>
              <c:numCache>
                <c:formatCode>#\ ###\ ##0_-\t</c:formatCode>
                <c:ptCount val="2"/>
                <c:pt idx="0">
                  <c:v>1473.56</c:v>
                </c:pt>
                <c:pt idx="1">
                  <c:v>957.7</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41668.923753727096</c:v>
                </c:pt>
                <c:pt idx="1">
                  <c:v>31072.995296982579</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15504.169999999998</c:v>
                </c:pt>
                <c:pt idx="1">
                  <c:v>11386.419</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dLbl>
              <c:idx val="0"/>
              <c:layout>
                <c:manualLayout>
                  <c:x val="9.961606309017329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50-434A-8AB8-345D46473F36}"/>
                </c:ext>
              </c:extLst>
            </c:dLbl>
            <c:dLbl>
              <c:idx val="1"/>
              <c:layout>
                <c:manualLayout>
                  <c:x val="0.1016913977378852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50-434A-8AB8-345D46473F3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5187.6200000000008</c:v>
                </c:pt>
                <c:pt idx="1">
                  <c:v>5151.420000000001</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Lbl>
              <c:idx val="0"/>
              <c:layout>
                <c:manualLayout>
                  <c:x val="-7.59931053165436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8F3-48D2-BC40-4C2C7D60B7D3}"/>
                </c:ext>
              </c:extLst>
            </c:dLbl>
            <c:dLbl>
              <c:idx val="1"/>
              <c:delete val="1"/>
              <c:extLst>
                <c:ext xmlns:c15="http://schemas.microsoft.com/office/drawing/2012/chart" uri="{CE6537A1-D6FC-4f65-9D91-7224C49458BB}"/>
                <c:ext xmlns:c16="http://schemas.microsoft.com/office/drawing/2014/chart" uri="{C3380CC4-5D6E-409C-BE32-E72D297353CC}">
                  <c16:uniqueId val="{00000014-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Synthèse!$F$246:$G$246</c:f>
              <c:numCache>
                <c:formatCode>General</c:formatCode>
                <c:ptCount val="2"/>
                <c:pt idx="0">
                  <c:v>2019</c:v>
                </c:pt>
                <c:pt idx="1">
                  <c:v>2020</c:v>
                </c:pt>
              </c:numCache>
            </c:numRef>
          </c:cat>
          <c:val>
            <c:numRef>
              <c:f>Synthèse!$F$258:$G$258</c:f>
              <c:numCache>
                <c:formatCode>#\ ###\ ##0_-\t</c:formatCode>
                <c:ptCount val="2"/>
                <c:pt idx="0">
                  <c:v>14.46</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258638.49305931162</c:v>
                </c:pt>
                <c:pt idx="1">
                  <c:v>223438.17079003484</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3"/>
        <c:delete val="1"/>
      </c:legendEntry>
      <c:legendEntry>
        <c:idx val="6"/>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Synthèse!$H$293:$I$293</c:f>
              <c:numCache>
                <c:formatCode>0%</c:formatCode>
                <c:ptCount val="2"/>
                <c:pt idx="0">
                  <c:v>0.23979962549947542</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Meurthe-et-Moselle</c:v>
                </c:pt>
                <c:pt idx="1">
                  <c:v>Grand Est</c:v>
                </c:pt>
              </c:strCache>
            </c:strRef>
          </c:cat>
          <c:val>
            <c:numRef>
              <c:f>Synthèse!$H$294:$I$294</c:f>
              <c:numCache>
                <c:formatCode>0%</c:formatCode>
                <c:ptCount val="2"/>
                <c:pt idx="0">
                  <c:v>7.1174066505372236E-4</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Synthèse!$H$295:$I$295</c:f>
              <c:numCache>
                <c:formatCode>0%</c:formatCode>
                <c:ptCount val="2"/>
                <c:pt idx="0">
                  <c:v>0.29725776320384584</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Synthèse!$H$296:$I$296</c:f>
              <c:numCache>
                <c:formatCode>0%</c:formatCode>
                <c:ptCount val="2"/>
                <c:pt idx="0">
                  <c:v>2.9023471812057292E-2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Synthèse!$H$297:$I$297</c:f>
              <c:numCache>
                <c:formatCode>0%</c:formatCode>
                <c:ptCount val="2"/>
                <c:pt idx="0">
                  <c:v>0.19653968641271038</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Synthèse!$H$300:$I$300</c:f>
              <c:numCache>
                <c:formatCode>0%</c:formatCode>
                <c:ptCount val="2"/>
                <c:pt idx="0">
                  <c:v>0.13185467185591998</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Synthèse!$H$302:$I$302</c:f>
              <c:numCache>
                <c:formatCode>0%</c:formatCode>
                <c:ptCount val="2"/>
                <c:pt idx="0">
                  <c:v>6.5559761834931798E-2</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Synthèse!$H$303:$I$303</c:f>
              <c:numCache>
                <c:formatCode>0%</c:formatCode>
                <c:ptCount val="2"/>
                <c:pt idx="0">
                  <c:v>3.499968037610178E-2</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Meurthe-et-Moselle</c:v>
                </c:pt>
                <c:pt idx="1">
                  <c:v>Grand Est</c:v>
                </c:pt>
              </c:strCache>
            </c:strRef>
          </c:cat>
          <c:val>
            <c:numRef>
              <c:f>Synthèse!$H$304:$I$304</c:f>
              <c:numCache>
                <c:formatCode>0.0%</c:formatCode>
                <c:ptCount val="2"/>
                <c:pt idx="0">
                  <c:v>0</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Meurthe-et-Moselle</c:v>
                      </c:pt>
                      <c:pt idx="1">
                        <c:v>Grand Est</c:v>
                      </c:pt>
                    </c:strCache>
                  </c:strRef>
                </c:cat>
                <c:val>
                  <c:numRef>
                    <c:extLst>
                      <c:ext uri="{02D57815-91ED-43cb-92C2-25804820EDAC}">
                        <c15:formulaRef>
                          <c15:sqref>Synthèse!$H$298:$I$298</c15:sqref>
                        </c15:formulaRef>
                      </c:ext>
                    </c:extLst>
                    <c:numCache>
                      <c:formatCode>0.0%</c:formatCode>
                      <c:ptCount val="2"/>
                      <c:pt idx="0">
                        <c:v>0</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Meurthe-et-Moselle</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4.2535983399038932E-3</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Meurthe-et-Moselle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500502652162967"/>
          <c:y val="0.26777834689076213"/>
          <c:w val="0.49989946956740661"/>
          <c:h val="0.49989946956740661"/>
        </c:manualLayout>
      </c:layout>
      <c:doughnutChart>
        <c:varyColors val="1"/>
        <c:ser>
          <c:idx val="0"/>
          <c:order val="0"/>
          <c:tx>
            <c:strRef>
              <c:f>Synthèse!$H$310</c:f>
              <c:strCache>
                <c:ptCount val="1"/>
                <c:pt idx="0">
                  <c:v>Meurthe-et-Moselle</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0.68881044288441784</c:v>
                </c:pt>
                <c:pt idx="1">
                  <c:v>7.8145543812988993E-2</c:v>
                </c:pt>
                <c:pt idx="2">
                  <c:v>8.8438403803308988E-2</c:v>
                </c:pt>
                <c:pt idx="3">
                  <c:v>0.14460560949928417</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Props1.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2.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4.xml><?xml version="1.0" encoding="utf-8"?>
<ds:datastoreItem xmlns:ds="http://schemas.openxmlformats.org/officeDocument/2006/customXml" ds:itemID="{C0020386-8827-4A58-B63F-0F5A961E96B8}">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4a3adf83-4159-48c2-b191-a10bc88d810d"/>
    <ds:schemaRef ds:uri="http://purl.org/dc/terms/"/>
    <ds:schemaRef ds:uri="f62a26c4-aace-4fc9-80a7-ab28e1be8723"/>
    <ds:schemaRef ds:uri="66095bee-5dc8-457d-bf6f-f80c5fc40ed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880</Words>
  <Characters>4841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7</cp:revision>
  <dcterms:created xsi:type="dcterms:W3CDTF">2022-08-05T12:19:00Z</dcterms:created>
  <dcterms:modified xsi:type="dcterms:W3CDTF">2022-08-22T12:13:00Z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