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3AF01530" w:rsidR="00D5544D" w:rsidRPr="00D5544D" w:rsidRDefault="006E3D77"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w:t>
            </w:r>
            <w:r w:rsidR="00F80728">
              <w:rPr>
                <w:rFonts w:asciiTheme="majorHAnsi" w:hAnsiTheme="majorHAnsi"/>
                <w:color w:val="1598D9" w:themeColor="accent2"/>
                <w:sz w:val="36"/>
                <w:szCs w:val="36"/>
              </w:rPr>
              <w:t>-</w:t>
            </w:r>
            <w:r w:rsidR="00A10FFA">
              <w:rPr>
                <w:rFonts w:asciiTheme="majorHAnsi" w:hAnsiTheme="majorHAnsi"/>
                <w:color w:val="1598D9" w:themeColor="accent2"/>
                <w:sz w:val="36"/>
                <w:szCs w:val="36"/>
              </w:rPr>
              <w:t xml:space="preserve"> </w:t>
            </w:r>
            <w:r w:rsidR="00F80728">
              <w:rPr>
                <w:rFonts w:asciiTheme="majorHAnsi" w:hAnsiTheme="majorHAnsi"/>
                <w:color w:val="1598D9" w:themeColor="accent2"/>
                <w:sz w:val="36"/>
                <w:szCs w:val="36"/>
              </w:rPr>
              <w:t>Bas-Rhin</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6E3D77"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139D6F06">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2EC0CCAC" w:rsidR="00837091" w:rsidRDefault="00F80728" w:rsidP="008F2F62">
            <w:pPr>
              <w:pStyle w:val="Corpsdetexte"/>
              <w:spacing w:before="120" w:after="0"/>
              <w:jc w:val="center"/>
            </w:pPr>
            <w:r>
              <w:rPr>
                <w:noProof/>
              </w:rPr>
              <w:drawing>
                <wp:inline distT="0" distB="0" distL="0" distR="0" wp14:anchorId="3578A459" wp14:editId="7045B735">
                  <wp:extent cx="1468105" cy="1252637"/>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5" cy="1252637"/>
                          </a:xfrm>
                          <a:prstGeom prst="rect">
                            <a:avLst/>
                          </a:prstGeom>
                        </pic:spPr>
                      </pic:pic>
                    </a:graphicData>
                  </a:graphic>
                </wp:inline>
              </w:drawing>
            </w:r>
          </w:p>
          <w:p w14:paraId="5FD54401" w14:textId="0E043EDC" w:rsidR="00A10FFA" w:rsidRPr="00A10FFA" w:rsidRDefault="00F80728" w:rsidP="00A10FFA">
            <w:pPr>
              <w:pStyle w:val="Corpsdetexte"/>
              <w:spacing w:before="120" w:after="0"/>
              <w:jc w:val="center"/>
              <w:rPr>
                <w:b/>
                <w:bCs/>
              </w:rPr>
            </w:pPr>
            <w:r>
              <w:rPr>
                <w:b/>
                <w:bCs/>
              </w:rPr>
              <w:t>Bas-Rhin</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F80728" w:rsidRPr="008F2F62" w14:paraId="5EC92056" w14:textId="77777777" w:rsidTr="001F25E5">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F80728" w:rsidRPr="008F2F62" w:rsidRDefault="00F80728" w:rsidP="00F8072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hideMark/>
          </w:tcPr>
          <w:p w14:paraId="352CD27F" w14:textId="546CAC8C" w:rsidR="00F80728" w:rsidRPr="00F80728" w:rsidRDefault="00F80728" w:rsidP="00F80728">
            <w:pPr>
              <w:spacing w:line="240" w:lineRule="auto"/>
              <w:jc w:val="center"/>
              <w:rPr>
                <w:rFonts w:ascii="Century Gothic" w:eastAsia="Times New Roman" w:hAnsi="Century Gothic" w:cs="Times New Roman"/>
                <w:b/>
                <w:bCs/>
                <w:color w:val="1598D9" w:themeColor="accent2"/>
                <w:szCs w:val="20"/>
                <w:lang w:eastAsia="fr-FR"/>
              </w:rPr>
            </w:pPr>
            <w:r w:rsidRPr="00F80728">
              <w:rPr>
                <w:b/>
                <w:bCs/>
                <w:color w:val="1598D9" w:themeColor="accent2"/>
              </w:rPr>
              <w:t>1 146 562 (+ 0,5 %)</w:t>
            </w:r>
          </w:p>
        </w:tc>
        <w:tc>
          <w:tcPr>
            <w:tcW w:w="907" w:type="dxa"/>
            <w:tcBorders>
              <w:top w:val="nil"/>
              <w:left w:val="nil"/>
              <w:bottom w:val="single" w:sz="4" w:space="0" w:color="D2D2D2"/>
              <w:right w:val="nil"/>
            </w:tcBorders>
            <w:shd w:val="clear" w:color="000000" w:fill="FFFFFF"/>
            <w:noWrap/>
            <w:hideMark/>
          </w:tcPr>
          <w:p w14:paraId="13942E9A" w14:textId="56665B9C" w:rsidR="00F80728" w:rsidRPr="00F80728" w:rsidRDefault="00F80728" w:rsidP="00F80728">
            <w:pPr>
              <w:spacing w:line="240" w:lineRule="auto"/>
              <w:jc w:val="center"/>
              <w:rPr>
                <w:rFonts w:ascii="Century Gothic" w:eastAsia="Times New Roman" w:hAnsi="Century Gothic" w:cs="Times New Roman"/>
                <w:b/>
                <w:bCs/>
                <w:color w:val="005293" w:themeColor="accent1"/>
                <w:szCs w:val="20"/>
                <w:lang w:eastAsia="fr-FR"/>
              </w:rPr>
            </w:pPr>
            <w:r w:rsidRPr="00F80728">
              <w:rPr>
                <w:b/>
                <w:bCs/>
                <w:color w:val="005293" w:themeColor="accent1"/>
              </w:rPr>
              <w:t>20,6 %</w:t>
            </w:r>
          </w:p>
        </w:tc>
        <w:tc>
          <w:tcPr>
            <w:tcW w:w="1510" w:type="dxa"/>
            <w:vMerge w:val="restart"/>
            <w:tcBorders>
              <w:top w:val="nil"/>
              <w:left w:val="nil"/>
              <w:bottom w:val="nil"/>
              <w:right w:val="nil"/>
            </w:tcBorders>
            <w:shd w:val="clear" w:color="000000" w:fill="D9D9D9"/>
            <w:vAlign w:val="center"/>
            <w:hideMark/>
          </w:tcPr>
          <w:p w14:paraId="36CC82F7" w14:textId="641D4A12" w:rsidR="00F80728" w:rsidRPr="008F2F62" w:rsidRDefault="00F80728" w:rsidP="00F80728">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F80728" w:rsidRPr="008F2F62" w14:paraId="78CE9338" w14:textId="77777777" w:rsidTr="001F25E5">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F80728" w:rsidRPr="008F2F62" w:rsidRDefault="00F80728" w:rsidP="00F8072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hideMark/>
          </w:tcPr>
          <w:p w14:paraId="0E3B3DB8" w14:textId="254C6E6F" w:rsidR="00F80728" w:rsidRPr="00F80728" w:rsidRDefault="00F80728" w:rsidP="00F80728">
            <w:pPr>
              <w:spacing w:line="240" w:lineRule="auto"/>
              <w:jc w:val="center"/>
              <w:rPr>
                <w:rFonts w:ascii="Century Gothic" w:eastAsia="Times New Roman" w:hAnsi="Century Gothic" w:cs="Times New Roman"/>
                <w:b/>
                <w:bCs/>
                <w:color w:val="1598D9" w:themeColor="accent2"/>
                <w:szCs w:val="20"/>
                <w:lang w:eastAsia="fr-FR"/>
              </w:rPr>
            </w:pPr>
            <w:r w:rsidRPr="00F80728">
              <w:rPr>
                <w:b/>
                <w:bCs/>
                <w:color w:val="1598D9" w:themeColor="accent2"/>
              </w:rPr>
              <w:t>464 648 (+ 0,8 %)</w:t>
            </w:r>
          </w:p>
        </w:tc>
        <w:tc>
          <w:tcPr>
            <w:tcW w:w="907" w:type="dxa"/>
            <w:tcBorders>
              <w:top w:val="nil"/>
              <w:left w:val="nil"/>
              <w:bottom w:val="single" w:sz="4" w:space="0" w:color="D2D2D2"/>
              <w:right w:val="nil"/>
            </w:tcBorders>
            <w:shd w:val="clear" w:color="000000" w:fill="FFFFFF"/>
            <w:noWrap/>
            <w:hideMark/>
          </w:tcPr>
          <w:p w14:paraId="11BB692E" w14:textId="1C66D292" w:rsidR="00F80728" w:rsidRPr="00F80728" w:rsidRDefault="00F80728" w:rsidP="00F80728">
            <w:pPr>
              <w:spacing w:line="240" w:lineRule="auto"/>
              <w:jc w:val="center"/>
              <w:rPr>
                <w:rFonts w:ascii="Century Gothic" w:eastAsia="Times New Roman" w:hAnsi="Century Gothic" w:cs="Times New Roman"/>
                <w:b/>
                <w:bCs/>
                <w:color w:val="005293" w:themeColor="accent1"/>
                <w:szCs w:val="20"/>
                <w:lang w:eastAsia="fr-FR"/>
              </w:rPr>
            </w:pPr>
            <w:r w:rsidRPr="00F80728">
              <w:rPr>
                <w:b/>
                <w:bCs/>
                <w:color w:val="005293" w:themeColor="accent1"/>
              </w:rPr>
              <w:t>24,1 %</w:t>
            </w:r>
          </w:p>
        </w:tc>
        <w:tc>
          <w:tcPr>
            <w:tcW w:w="1510" w:type="dxa"/>
            <w:vMerge/>
            <w:tcBorders>
              <w:top w:val="nil"/>
              <w:left w:val="nil"/>
              <w:bottom w:val="nil"/>
              <w:right w:val="nil"/>
            </w:tcBorders>
            <w:vAlign w:val="center"/>
            <w:hideMark/>
          </w:tcPr>
          <w:p w14:paraId="5DBEB910" w14:textId="77777777" w:rsidR="00F80728" w:rsidRPr="008F2F62" w:rsidRDefault="00F80728" w:rsidP="00F80728">
            <w:pPr>
              <w:spacing w:line="240" w:lineRule="auto"/>
              <w:rPr>
                <w:rFonts w:ascii="Century Gothic" w:eastAsia="Times New Roman" w:hAnsi="Century Gothic" w:cs="Times New Roman"/>
                <w:b/>
                <w:bCs/>
                <w:color w:val="FFFFFF"/>
                <w:szCs w:val="20"/>
                <w:lang w:eastAsia="fr-FR"/>
              </w:rPr>
            </w:pPr>
          </w:p>
        </w:tc>
      </w:tr>
      <w:tr w:rsidR="00F80728" w:rsidRPr="008F2F62" w14:paraId="6C3DD9D7" w14:textId="77777777" w:rsidTr="001F25E5">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F80728" w:rsidRPr="008F2F62" w:rsidRDefault="00F80728" w:rsidP="00F8072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hideMark/>
          </w:tcPr>
          <w:p w14:paraId="27DF328A" w14:textId="00332290" w:rsidR="00F80728" w:rsidRPr="00F80728" w:rsidRDefault="00F80728" w:rsidP="00F80728">
            <w:pPr>
              <w:spacing w:line="240" w:lineRule="auto"/>
              <w:jc w:val="center"/>
              <w:rPr>
                <w:rFonts w:ascii="Century Gothic" w:eastAsia="Times New Roman" w:hAnsi="Century Gothic" w:cs="Times New Roman"/>
                <w:b/>
                <w:bCs/>
                <w:color w:val="1598D9" w:themeColor="accent2"/>
                <w:szCs w:val="20"/>
                <w:lang w:eastAsia="fr-FR"/>
              </w:rPr>
            </w:pPr>
            <w:r w:rsidRPr="00F80728">
              <w:rPr>
                <w:b/>
                <w:bCs/>
                <w:color w:val="1598D9" w:themeColor="accent2"/>
              </w:rPr>
              <w:t>32 156 (+ 0,3 %)</w:t>
            </w:r>
          </w:p>
        </w:tc>
        <w:tc>
          <w:tcPr>
            <w:tcW w:w="907" w:type="dxa"/>
            <w:tcBorders>
              <w:top w:val="nil"/>
              <w:left w:val="nil"/>
              <w:bottom w:val="single" w:sz="4" w:space="0" w:color="D2D2D2"/>
              <w:right w:val="nil"/>
            </w:tcBorders>
            <w:shd w:val="clear" w:color="000000" w:fill="FFFFFF"/>
            <w:noWrap/>
            <w:hideMark/>
          </w:tcPr>
          <w:p w14:paraId="38A28D55" w14:textId="52156351" w:rsidR="00F80728" w:rsidRPr="00F80728" w:rsidRDefault="00F80728" w:rsidP="00F80728">
            <w:pPr>
              <w:spacing w:line="240" w:lineRule="auto"/>
              <w:jc w:val="center"/>
              <w:rPr>
                <w:rFonts w:ascii="Century Gothic" w:eastAsia="Times New Roman" w:hAnsi="Century Gothic" w:cs="Times New Roman"/>
                <w:b/>
                <w:bCs/>
                <w:color w:val="005293" w:themeColor="accent1"/>
                <w:szCs w:val="20"/>
                <w:lang w:eastAsia="fr-FR"/>
              </w:rPr>
            </w:pPr>
            <w:r w:rsidRPr="00F80728">
              <w:rPr>
                <w:b/>
                <w:bCs/>
                <w:color w:val="005293" w:themeColor="accent1"/>
              </w:rPr>
              <w:t>24,6 %</w:t>
            </w:r>
          </w:p>
        </w:tc>
        <w:tc>
          <w:tcPr>
            <w:tcW w:w="1510" w:type="dxa"/>
            <w:vMerge/>
            <w:tcBorders>
              <w:top w:val="nil"/>
              <w:left w:val="nil"/>
              <w:bottom w:val="nil"/>
              <w:right w:val="nil"/>
            </w:tcBorders>
            <w:vAlign w:val="center"/>
            <w:hideMark/>
          </w:tcPr>
          <w:p w14:paraId="4F14CE5E" w14:textId="77777777" w:rsidR="00F80728" w:rsidRPr="008F2F62" w:rsidRDefault="00F80728" w:rsidP="00F80728">
            <w:pPr>
              <w:spacing w:line="240" w:lineRule="auto"/>
              <w:rPr>
                <w:rFonts w:ascii="Century Gothic" w:eastAsia="Times New Roman" w:hAnsi="Century Gothic" w:cs="Times New Roman"/>
                <w:b/>
                <w:bCs/>
                <w:color w:val="FFFFFF"/>
                <w:szCs w:val="20"/>
                <w:lang w:eastAsia="fr-FR"/>
              </w:rPr>
            </w:pPr>
          </w:p>
        </w:tc>
      </w:tr>
      <w:tr w:rsidR="00F80728" w:rsidRPr="008F2F62" w14:paraId="340F9EA3" w14:textId="77777777" w:rsidTr="001F25E5">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F80728" w:rsidRPr="008F2F62" w:rsidRDefault="00F80728" w:rsidP="00F8072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hideMark/>
          </w:tcPr>
          <w:p w14:paraId="3D27669F" w14:textId="42D423CA" w:rsidR="00F80728" w:rsidRPr="00F80728" w:rsidRDefault="00F80728" w:rsidP="00F80728">
            <w:pPr>
              <w:spacing w:line="240" w:lineRule="auto"/>
              <w:jc w:val="center"/>
              <w:rPr>
                <w:rFonts w:ascii="Century Gothic" w:eastAsia="Times New Roman" w:hAnsi="Century Gothic" w:cs="Times New Roman"/>
                <w:b/>
                <w:bCs/>
                <w:color w:val="1598D9" w:themeColor="accent2"/>
                <w:szCs w:val="20"/>
                <w:lang w:eastAsia="fr-FR"/>
              </w:rPr>
            </w:pPr>
            <w:r w:rsidRPr="00F80728">
              <w:rPr>
                <w:b/>
                <w:bCs/>
                <w:color w:val="1598D9" w:themeColor="accent2"/>
              </w:rPr>
              <w:t>1 077 970 (+ 0,0 %)</w:t>
            </w:r>
          </w:p>
        </w:tc>
        <w:tc>
          <w:tcPr>
            <w:tcW w:w="907" w:type="dxa"/>
            <w:tcBorders>
              <w:top w:val="nil"/>
              <w:left w:val="nil"/>
              <w:bottom w:val="single" w:sz="4" w:space="0" w:color="D2D2D2"/>
              <w:right w:val="nil"/>
            </w:tcBorders>
            <w:shd w:val="clear" w:color="000000" w:fill="FFFFFF"/>
            <w:noWrap/>
            <w:hideMark/>
          </w:tcPr>
          <w:p w14:paraId="2B98A726" w14:textId="12D464FD" w:rsidR="00F80728" w:rsidRPr="00F80728" w:rsidRDefault="00F80728" w:rsidP="00F80728">
            <w:pPr>
              <w:spacing w:line="240" w:lineRule="auto"/>
              <w:jc w:val="center"/>
              <w:rPr>
                <w:rFonts w:ascii="Century Gothic" w:eastAsia="Times New Roman" w:hAnsi="Century Gothic" w:cs="Times New Roman"/>
                <w:b/>
                <w:bCs/>
                <w:color w:val="005293" w:themeColor="accent1"/>
                <w:szCs w:val="20"/>
                <w:lang w:eastAsia="fr-FR"/>
              </w:rPr>
            </w:pPr>
            <w:r w:rsidRPr="00F80728">
              <w:rPr>
                <w:b/>
                <w:bCs/>
                <w:color w:val="005293" w:themeColor="accent1"/>
              </w:rPr>
              <w:t>21,8 %</w:t>
            </w:r>
          </w:p>
        </w:tc>
        <w:tc>
          <w:tcPr>
            <w:tcW w:w="1510" w:type="dxa"/>
            <w:vMerge/>
            <w:tcBorders>
              <w:top w:val="nil"/>
              <w:left w:val="nil"/>
              <w:bottom w:val="nil"/>
              <w:right w:val="nil"/>
            </w:tcBorders>
            <w:vAlign w:val="center"/>
            <w:hideMark/>
          </w:tcPr>
          <w:p w14:paraId="1A5117ED" w14:textId="77777777" w:rsidR="00F80728" w:rsidRPr="008F2F62" w:rsidRDefault="00F80728" w:rsidP="00F80728">
            <w:pPr>
              <w:spacing w:line="240" w:lineRule="auto"/>
              <w:rPr>
                <w:rFonts w:ascii="Century Gothic" w:eastAsia="Times New Roman" w:hAnsi="Century Gothic" w:cs="Times New Roman"/>
                <w:b/>
                <w:bCs/>
                <w:color w:val="FFFFFF"/>
                <w:szCs w:val="20"/>
                <w:lang w:eastAsia="fr-FR"/>
              </w:rPr>
            </w:pPr>
          </w:p>
        </w:tc>
      </w:tr>
      <w:tr w:rsidR="00F80728" w:rsidRPr="008F2F62" w14:paraId="7AA4AF07" w14:textId="77777777" w:rsidTr="001F25E5">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F80728" w:rsidRPr="008F2F62" w:rsidRDefault="00F80728" w:rsidP="00F8072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hideMark/>
          </w:tcPr>
          <w:p w14:paraId="4A3AC1B0" w14:textId="31384216" w:rsidR="00F80728" w:rsidRPr="00F80728" w:rsidRDefault="00F80728" w:rsidP="00F80728">
            <w:pPr>
              <w:spacing w:line="240" w:lineRule="auto"/>
              <w:jc w:val="center"/>
              <w:rPr>
                <w:rFonts w:ascii="Century Gothic" w:eastAsia="Times New Roman" w:hAnsi="Century Gothic" w:cs="Times New Roman"/>
                <w:b/>
                <w:bCs/>
                <w:color w:val="1598D9" w:themeColor="accent2"/>
                <w:szCs w:val="20"/>
                <w:lang w:eastAsia="fr-FR"/>
              </w:rPr>
            </w:pPr>
            <w:r w:rsidRPr="00F80728">
              <w:rPr>
                <w:b/>
                <w:bCs/>
                <w:color w:val="1598D9" w:themeColor="accent2"/>
              </w:rPr>
              <w:t>533 685 t</w:t>
            </w:r>
          </w:p>
        </w:tc>
        <w:tc>
          <w:tcPr>
            <w:tcW w:w="907" w:type="dxa"/>
            <w:tcBorders>
              <w:top w:val="nil"/>
              <w:left w:val="nil"/>
              <w:bottom w:val="single" w:sz="4" w:space="0" w:color="D2D2D2"/>
              <w:right w:val="nil"/>
            </w:tcBorders>
            <w:shd w:val="clear" w:color="000000" w:fill="FFFFFF"/>
            <w:noWrap/>
            <w:hideMark/>
          </w:tcPr>
          <w:p w14:paraId="4B25611E" w14:textId="425F7530" w:rsidR="00F80728" w:rsidRPr="00F80728" w:rsidRDefault="00F80728" w:rsidP="00F80728">
            <w:pPr>
              <w:spacing w:line="240" w:lineRule="auto"/>
              <w:jc w:val="center"/>
              <w:rPr>
                <w:rFonts w:ascii="Century Gothic" w:eastAsia="Times New Roman" w:hAnsi="Century Gothic" w:cs="Times New Roman"/>
                <w:b/>
                <w:bCs/>
                <w:color w:val="005293" w:themeColor="accent1"/>
                <w:szCs w:val="20"/>
                <w:lang w:eastAsia="fr-FR"/>
              </w:rPr>
            </w:pPr>
            <w:r w:rsidRPr="00F80728">
              <w:rPr>
                <w:b/>
                <w:bCs/>
                <w:color w:val="005293" w:themeColor="accent1"/>
              </w:rPr>
              <w:t>20,4 %</w:t>
            </w:r>
          </w:p>
        </w:tc>
        <w:tc>
          <w:tcPr>
            <w:tcW w:w="1510" w:type="dxa"/>
            <w:vMerge/>
            <w:tcBorders>
              <w:top w:val="nil"/>
              <w:left w:val="nil"/>
              <w:bottom w:val="nil"/>
              <w:right w:val="nil"/>
            </w:tcBorders>
            <w:vAlign w:val="center"/>
            <w:hideMark/>
          </w:tcPr>
          <w:p w14:paraId="740B901D" w14:textId="77777777" w:rsidR="00F80728" w:rsidRPr="008F2F62" w:rsidRDefault="00F80728" w:rsidP="00F80728">
            <w:pPr>
              <w:spacing w:line="240" w:lineRule="auto"/>
              <w:rPr>
                <w:rFonts w:ascii="Century Gothic" w:eastAsia="Times New Roman" w:hAnsi="Century Gothic" w:cs="Times New Roman"/>
                <w:b/>
                <w:bCs/>
                <w:color w:val="FFFFFF"/>
                <w:szCs w:val="20"/>
                <w:lang w:eastAsia="fr-FR"/>
              </w:rPr>
            </w:pPr>
          </w:p>
        </w:tc>
      </w:tr>
      <w:tr w:rsidR="00F80728" w:rsidRPr="008F2F62" w14:paraId="4CADD36E" w14:textId="77777777" w:rsidTr="001F25E5">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F80728" w:rsidRPr="008F2F62" w:rsidRDefault="00F80728" w:rsidP="00F8072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hideMark/>
          </w:tcPr>
          <w:p w14:paraId="76D13107" w14:textId="4C2193CB" w:rsidR="00F80728" w:rsidRPr="00F80728" w:rsidRDefault="00F80728" w:rsidP="00F80728">
            <w:pPr>
              <w:spacing w:line="240" w:lineRule="auto"/>
              <w:jc w:val="center"/>
              <w:rPr>
                <w:rFonts w:ascii="Century Gothic" w:eastAsia="Times New Roman" w:hAnsi="Century Gothic" w:cs="Times New Roman"/>
                <w:b/>
                <w:bCs/>
                <w:color w:val="1598D9" w:themeColor="accent2"/>
                <w:szCs w:val="20"/>
                <w:lang w:eastAsia="fr-FR"/>
              </w:rPr>
            </w:pPr>
            <w:r w:rsidRPr="00F80728">
              <w:rPr>
                <w:b/>
                <w:bCs/>
                <w:color w:val="1598D9" w:themeColor="accent2"/>
              </w:rPr>
              <w:t>76 %</w:t>
            </w:r>
          </w:p>
        </w:tc>
        <w:tc>
          <w:tcPr>
            <w:tcW w:w="907" w:type="dxa"/>
            <w:tcBorders>
              <w:top w:val="nil"/>
              <w:left w:val="nil"/>
              <w:bottom w:val="single" w:sz="4" w:space="0" w:color="D2D2D2"/>
              <w:right w:val="nil"/>
            </w:tcBorders>
            <w:shd w:val="clear" w:color="000000" w:fill="FFFFFF"/>
            <w:noWrap/>
            <w:hideMark/>
          </w:tcPr>
          <w:p w14:paraId="5252CA16" w14:textId="2289CD57" w:rsidR="00F80728" w:rsidRPr="00F80728" w:rsidRDefault="00F80728" w:rsidP="00F80728">
            <w:pPr>
              <w:spacing w:line="240" w:lineRule="auto"/>
              <w:jc w:val="center"/>
              <w:rPr>
                <w:rFonts w:ascii="Century Gothic" w:eastAsia="Times New Roman" w:hAnsi="Century Gothic" w:cs="Times New Roman"/>
                <w:b/>
                <w:bCs/>
                <w:color w:val="005293" w:themeColor="accent1"/>
                <w:szCs w:val="20"/>
                <w:lang w:eastAsia="fr-FR"/>
              </w:rPr>
            </w:pPr>
            <w:r w:rsidRPr="00F80728">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F80728" w:rsidRPr="008F2F62" w:rsidRDefault="00F80728" w:rsidP="00F80728">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F80728" w:rsidRPr="008F2F62" w14:paraId="50CB4E74" w14:textId="77777777" w:rsidTr="001F25E5">
        <w:trPr>
          <w:trHeight w:val="270"/>
        </w:trPr>
        <w:tc>
          <w:tcPr>
            <w:tcW w:w="4706" w:type="dxa"/>
            <w:tcBorders>
              <w:top w:val="nil"/>
              <w:left w:val="nil"/>
              <w:bottom w:val="nil"/>
              <w:right w:val="nil"/>
            </w:tcBorders>
            <w:shd w:val="clear" w:color="000000" w:fill="FFFFFF"/>
            <w:noWrap/>
            <w:vAlign w:val="center"/>
            <w:hideMark/>
          </w:tcPr>
          <w:p w14:paraId="43950DBC" w14:textId="05127F27" w:rsidR="00F80728" w:rsidRPr="008F2F62" w:rsidRDefault="00F80728" w:rsidP="00F80728">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hideMark/>
          </w:tcPr>
          <w:p w14:paraId="483CB8EB" w14:textId="14A6426C" w:rsidR="00F80728" w:rsidRPr="00F80728" w:rsidRDefault="00F80728" w:rsidP="00F80728">
            <w:pPr>
              <w:spacing w:line="240" w:lineRule="auto"/>
              <w:jc w:val="center"/>
              <w:rPr>
                <w:rFonts w:ascii="Century Gothic" w:eastAsia="Times New Roman" w:hAnsi="Century Gothic" w:cs="Times New Roman"/>
                <w:b/>
                <w:bCs/>
                <w:color w:val="1598D9" w:themeColor="accent2"/>
                <w:szCs w:val="20"/>
                <w:lang w:eastAsia="fr-FR"/>
              </w:rPr>
            </w:pPr>
            <w:r w:rsidRPr="00F80728">
              <w:rPr>
                <w:b/>
                <w:bCs/>
                <w:color w:val="1598D9" w:themeColor="accent2"/>
              </w:rPr>
              <w:t>8 %</w:t>
            </w:r>
          </w:p>
        </w:tc>
        <w:tc>
          <w:tcPr>
            <w:tcW w:w="907" w:type="dxa"/>
            <w:tcBorders>
              <w:top w:val="nil"/>
              <w:left w:val="nil"/>
              <w:bottom w:val="nil"/>
              <w:right w:val="nil"/>
            </w:tcBorders>
            <w:shd w:val="clear" w:color="000000" w:fill="FFFFFF"/>
            <w:noWrap/>
            <w:hideMark/>
          </w:tcPr>
          <w:p w14:paraId="5C8EDE1F" w14:textId="73366F9D" w:rsidR="00F80728" w:rsidRPr="00F80728" w:rsidRDefault="00F80728" w:rsidP="00F80728">
            <w:pPr>
              <w:spacing w:line="240" w:lineRule="auto"/>
              <w:jc w:val="center"/>
              <w:rPr>
                <w:rFonts w:ascii="Century Gothic" w:eastAsia="Times New Roman" w:hAnsi="Century Gothic" w:cs="Times New Roman"/>
                <w:b/>
                <w:bCs/>
                <w:color w:val="005293" w:themeColor="accent1"/>
                <w:szCs w:val="20"/>
                <w:lang w:eastAsia="fr-FR"/>
              </w:rPr>
            </w:pPr>
            <w:r w:rsidRPr="00F80728">
              <w:rPr>
                <w:b/>
                <w:bCs/>
                <w:color w:val="005293" w:themeColor="accent1"/>
              </w:rPr>
              <w:t>10 %</w:t>
            </w:r>
          </w:p>
        </w:tc>
        <w:tc>
          <w:tcPr>
            <w:tcW w:w="1510" w:type="dxa"/>
            <w:vMerge/>
            <w:tcBorders>
              <w:top w:val="nil"/>
              <w:left w:val="nil"/>
              <w:bottom w:val="nil"/>
              <w:right w:val="nil"/>
            </w:tcBorders>
            <w:vAlign w:val="center"/>
            <w:hideMark/>
          </w:tcPr>
          <w:p w14:paraId="6FEC216D" w14:textId="77777777" w:rsidR="00F80728" w:rsidRPr="008F2F62" w:rsidRDefault="00F80728" w:rsidP="00F80728">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561C5012">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1738A9A5">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73D0D004">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2CC928AF">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EA5565" w14:textId="5B4586CB" w:rsidR="00F80728" w:rsidRDefault="00F80728" w:rsidP="002C6D1C">
      <w:pPr>
        <w:pStyle w:val="Corpsdetexte"/>
      </w:pPr>
      <w:r>
        <w:rPr>
          <w:noProof/>
        </w:rPr>
        <w:lastRenderedPageBreak/>
        <w:drawing>
          <wp:anchor distT="0" distB="0" distL="114300" distR="114300" simplePos="0" relativeHeight="251657216" behindDoc="0" locked="0" layoutInCell="1" allowOverlap="1" wp14:anchorId="4DC33E20" wp14:editId="3C2A8589">
            <wp:simplePos x="0" y="0"/>
            <wp:positionH relativeFrom="margin">
              <wp:align>left</wp:align>
            </wp:positionH>
            <wp:positionV relativeFrom="paragraph">
              <wp:posOffset>13335</wp:posOffset>
            </wp:positionV>
            <wp:extent cx="3619500" cy="21621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C690402" w14:textId="156EEB4C" w:rsidR="002C6D1C" w:rsidRDefault="002C6D1C" w:rsidP="002C6D1C">
      <w:pPr>
        <w:pStyle w:val="Corpsdetexte"/>
      </w:pPr>
      <w:r>
        <w:t xml:space="preserve">Le nombre de salariés sur le département est en légère baisse entre 2019 et 2020, ce qui s’explique par la crise sanitaire de 2020, </w:t>
      </w:r>
      <w:r w:rsidR="00F80728">
        <w:t>la tendance étant à la hausse depuis 2014</w:t>
      </w:r>
      <w:r>
        <w:t>.</w:t>
      </w:r>
    </w:p>
    <w:p w14:paraId="4D3DC810" w14:textId="2D16BA4C" w:rsidR="002C6D1C" w:rsidRDefault="002C6D1C" w:rsidP="002C6D1C">
      <w:pPr>
        <w:pStyle w:val="Corpsdetexte"/>
      </w:pPr>
      <w:r>
        <w:t>Le</w:t>
      </w:r>
      <w:r w:rsidR="002E6D32">
        <w:t xml:space="preserve"> nombre de</w:t>
      </w:r>
      <w:r>
        <w:t xml:space="preserve"> salariés de l’agriculture et du BTP </w:t>
      </w:r>
      <w:r w:rsidR="002E6D32">
        <w:t>est</w:t>
      </w:r>
      <w:r>
        <w:t xml:space="preserve"> en augmentation, mais reste minoritaire au regard du tertiaire et de l'industrie.</w:t>
      </w: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4651A8F1">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0F9F1804" w:rsidR="007A79F6" w:rsidRDefault="00D134E0" w:rsidP="00D134E0">
      <w:pPr>
        <w:pStyle w:val="Corpsdetexte"/>
        <w:rPr>
          <w:noProof/>
        </w:rPr>
      </w:pPr>
      <w:r w:rsidRPr="00D134E0">
        <w:t>Entre</w:t>
      </w:r>
      <w:r>
        <w:rPr>
          <w:noProof/>
        </w:rPr>
        <w:t xml:space="preserve"> 2019 et 2020, on note une </w:t>
      </w:r>
      <w:r w:rsidRPr="007774C7">
        <w:rPr>
          <w:b/>
          <w:bCs/>
          <w:noProof/>
        </w:rPr>
        <w:t>baisse d</w:t>
      </w:r>
      <w:r w:rsidR="007774C7" w:rsidRPr="007774C7">
        <w:rPr>
          <w:b/>
          <w:bCs/>
          <w:noProof/>
        </w:rPr>
        <w:t xml:space="preserve">e </w:t>
      </w:r>
      <w:r w:rsidR="00F80728">
        <w:rPr>
          <w:b/>
          <w:bCs/>
          <w:noProof/>
        </w:rPr>
        <w:t>50</w:t>
      </w:r>
      <w:r w:rsidR="007774C7" w:rsidRPr="007774C7">
        <w:rPr>
          <w:b/>
          <w:bCs/>
          <w:noProof/>
        </w:rPr>
        <w:t> </w:t>
      </w:r>
      <w:r w:rsidR="00F80728">
        <w:rPr>
          <w:b/>
          <w:bCs/>
          <w:noProof/>
        </w:rPr>
        <w:t>2</w:t>
      </w:r>
      <w:r w:rsidR="007774C7" w:rsidRPr="007774C7">
        <w:rPr>
          <w:b/>
          <w:bCs/>
          <w:noProof/>
        </w:rPr>
        <w:t>00 t</w:t>
      </w:r>
      <w:r w:rsidR="007774C7">
        <w:rPr>
          <w:noProof/>
        </w:rPr>
        <w:t xml:space="preserve"> d</w:t>
      </w:r>
      <w:r>
        <w:rPr>
          <w:noProof/>
        </w:rPr>
        <w:t>es tonnages de DAEndni entrant en installation des traitement. Cette baisse concerne particulièrement les métaux</w:t>
      </w:r>
      <w:r w:rsidR="007774C7">
        <w:rPr>
          <w:noProof/>
        </w:rPr>
        <w:t>, et dans une moindre mesure les déchets en mélange et le bois. A noter l’augmentation des déchets de papiers et cartons qui pourrait s’epxliquer par le recours accru aux commandes à distance.</w:t>
      </w:r>
    </w:p>
    <w:p w14:paraId="20EF8911" w14:textId="3F2A79C6" w:rsidR="003A2A23" w:rsidRDefault="00FD4E8B" w:rsidP="003A2A23">
      <w:pPr>
        <w:pStyle w:val="Corpsdetexte"/>
        <w:rPr>
          <w:noProof/>
        </w:rPr>
      </w:pPr>
      <w:r>
        <w:t>La production de DAEndni</w:t>
      </w:r>
      <w:r w:rsidR="009D7D3D">
        <w:t xml:space="preserve"> sur le département</w:t>
      </w:r>
      <w:r>
        <w:t xml:space="preserve"> </w:t>
      </w:r>
      <w:r w:rsidR="009D7D3D">
        <w:t xml:space="preserve">était estimée à </w:t>
      </w:r>
      <w:r w:rsidR="00F80728">
        <w:t>1 132</w:t>
      </w:r>
      <w:r w:rsidR="009D7D3D">
        <w:t xml:space="preserve"> 000 t en 2019. </w:t>
      </w:r>
      <w:r w:rsidR="003A2A23">
        <w:rPr>
          <w:noProof/>
        </w:rPr>
        <w:t xml:space="preserve">En ajoutant les évolutions observées sur les tonnages de DAE assimilés aux déchets ménagers (- </w:t>
      </w:r>
      <w:r w:rsidR="00F80728">
        <w:rPr>
          <w:noProof/>
        </w:rPr>
        <w:t>3 200</w:t>
      </w:r>
      <w:r w:rsidR="000D1D70">
        <w:rPr>
          <w:noProof/>
        </w:rPr>
        <w:t xml:space="preserve"> t</w:t>
      </w:r>
      <w:r w:rsidR="003A2A23">
        <w:rPr>
          <w:noProof/>
        </w:rPr>
        <w:t>) ainsi que sur les tonnages de DAEndni gérés directement par les producteurs (</w:t>
      </w:r>
      <w:r w:rsidR="00F80728">
        <w:rPr>
          <w:noProof/>
        </w:rPr>
        <w:t>-</w:t>
      </w:r>
      <w:r w:rsidR="000D1D70">
        <w:rPr>
          <w:noProof/>
        </w:rPr>
        <w:t xml:space="preserve"> </w:t>
      </w:r>
      <w:r w:rsidR="00F80728">
        <w:rPr>
          <w:noProof/>
        </w:rPr>
        <w:t>40</w:t>
      </w:r>
      <w:r w:rsidR="00083DF2">
        <w:rPr>
          <w:noProof/>
        </w:rPr>
        <w:t>0</w:t>
      </w:r>
      <w:r w:rsidR="000D1D70">
        <w:rPr>
          <w:noProof/>
        </w:rPr>
        <w:t xml:space="preserve"> 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F80728">
        <w:rPr>
          <w:b/>
          <w:bCs/>
          <w:noProof/>
        </w:rPr>
        <w:t>1 078</w:t>
      </w:r>
      <w:r w:rsidR="00083DF2" w:rsidRPr="00083DF2">
        <w:rPr>
          <w:b/>
          <w:bCs/>
          <w:noProof/>
        </w:rPr>
        <w:t xml:space="preserve">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p>
    <w:p w14:paraId="31090853" w14:textId="206A0866" w:rsidR="000D469F" w:rsidRDefault="009D7D3D" w:rsidP="00D134E0">
      <w:pPr>
        <w:pStyle w:val="Corpsdetexte"/>
      </w:pPr>
      <w:r>
        <w:t xml:space="preserve"> </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2F29F91E"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F80728">
        <w:rPr>
          <w:b/>
          <w:bCs/>
        </w:rPr>
        <w:t>534</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6F8EAF9D">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1F15AF" w14:textId="44A9DE2A" w:rsidR="00D134E0" w:rsidRDefault="00D134E0" w:rsidP="00D134E0">
      <w:pPr>
        <w:pStyle w:val="Corpsdetexte"/>
      </w:pPr>
      <w:r w:rsidRPr="00026AB8">
        <w:t>L</w:t>
      </w:r>
      <w:r w:rsidR="00026AB8" w:rsidRPr="00026AB8">
        <w:t>es caractéristiques des DAEndni identifiés en entrée d’installation de traitement reflètent les caractéristiques des tonnages produits estimés sur l’année 2019. Les déchets en mélange sont sur-représentés, ce qui s’explique par le fait que des types de déchets différents peuvent être mélangés avant d’arriver en installation de traitement.</w:t>
      </w:r>
    </w:p>
    <w:p w14:paraId="772C6562" w14:textId="77777777" w:rsidR="00026AB8" w:rsidRDefault="00026AB8">
      <w:pPr>
        <w:rPr>
          <w:rFonts w:asciiTheme="majorHAnsi" w:eastAsiaTheme="majorEastAsia" w:hAnsiTheme="majorHAnsi" w:cstheme="majorBidi"/>
          <w:color w:val="FFFFFF" w:themeColor="background1"/>
          <w:sz w:val="32"/>
          <w:szCs w:val="24"/>
        </w:rPr>
      </w:pPr>
      <w:r>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19BF9977">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666F2E7D">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FD9090" w14:textId="2B06508B" w:rsidR="00903007" w:rsidRDefault="00903007" w:rsidP="008166BC">
      <w:pPr>
        <w:pStyle w:val="Corpsdetexte"/>
      </w:pPr>
      <w:r w:rsidRPr="00903007">
        <w:t>La plus grande part de papiers/cartons dans les déchets produits se traduit par une plus grande part de valorisation matière par rapport à la part Régionale, à l’inverse de la part de valorisation organique réduite du fait de tonnages de biodéchets et de boues moins représentés.</w:t>
      </w:r>
    </w:p>
    <w:p w14:paraId="60DF862C" w14:textId="730CFAC7" w:rsidR="008166BC" w:rsidRDefault="008166BC" w:rsidP="008166BC">
      <w:pPr>
        <w:pStyle w:val="Corpsdetexte"/>
      </w:pPr>
      <w:r>
        <w:rPr>
          <w:noProof/>
        </w:rPr>
        <w:drawing>
          <wp:anchor distT="0" distB="0" distL="114300" distR="114300" simplePos="0" relativeHeight="251659264" behindDoc="0" locked="0" layoutInCell="1" allowOverlap="1" wp14:anchorId="49B212A5" wp14:editId="52575D75">
            <wp:simplePos x="0" y="0"/>
            <wp:positionH relativeFrom="margin">
              <wp:align>left</wp:align>
            </wp:positionH>
            <wp:positionV relativeFrom="paragraph">
              <wp:posOffset>11430</wp:posOffset>
            </wp:positionV>
            <wp:extent cx="3420000" cy="2520000"/>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7AC69CE" w14:textId="77777777" w:rsidR="005F4149" w:rsidRDefault="005F4149" w:rsidP="008166BC">
      <w:pPr>
        <w:pStyle w:val="Corpsdetexte"/>
      </w:pPr>
    </w:p>
    <w:p w14:paraId="3D13F4D7" w14:textId="77777777" w:rsidR="005F4149" w:rsidRDefault="005F4149" w:rsidP="008166BC">
      <w:pPr>
        <w:pStyle w:val="Corpsdetexte"/>
      </w:pPr>
    </w:p>
    <w:p w14:paraId="1651033A" w14:textId="1C63D5F6" w:rsidR="008166BC" w:rsidRPr="00551F7F" w:rsidRDefault="008166BC" w:rsidP="008166BC">
      <w:pPr>
        <w:pStyle w:val="Corpsdetexte"/>
      </w:pPr>
      <w:r>
        <w:t xml:space="preserve">Entre 2019 et 2020, on note </w:t>
      </w:r>
      <w:r w:rsidR="005F4149">
        <w:t>assez peu d’évolution sur la répartition des tonnages par mode de valorisation</w:t>
      </w:r>
      <w:r>
        <w:t>.</w:t>
      </w:r>
    </w:p>
    <w:sectPr w:rsidR="008166BC" w:rsidRPr="00551F7F"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579345E9">
              <wp:simplePos x="0" y="0"/>
              <wp:positionH relativeFrom="page">
                <wp:align>right</wp:align>
              </wp:positionH>
              <wp:positionV relativeFrom="margin">
                <wp:align>top</wp:align>
              </wp:positionV>
              <wp:extent cx="720000" cy="6120000"/>
              <wp:effectExtent l="0" t="0" r="0" b="508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3E065982" w:rsidR="002D7D62" w:rsidRPr="00DD2940" w:rsidRDefault="00F96C4C" w:rsidP="002D7D62">
                          <w:pPr>
                            <w:rPr>
                              <w:color w:val="EBEBEB" w:themeColor="background2"/>
                              <w:sz w:val="72"/>
                            </w:rPr>
                          </w:pPr>
                          <w:r>
                            <w:rPr>
                              <w:color w:val="EBEBEB" w:themeColor="background2"/>
                              <w:sz w:val="72"/>
                            </w:rPr>
                            <w:t>Bas-Rhin</w:t>
                          </w:r>
                        </w:p>
                        <w:p w14:paraId="243789E3" w14:textId="77777777" w:rsidR="00F96C4C" w:rsidRDefault="00F96C4C"/>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3E065982" w:rsidR="002D7D62" w:rsidRPr="00DD2940" w:rsidRDefault="00F96C4C" w:rsidP="002D7D62">
                    <w:pPr>
                      <w:rPr>
                        <w:color w:val="EBEBEB" w:themeColor="background2"/>
                        <w:sz w:val="72"/>
                      </w:rPr>
                    </w:pPr>
                    <w:r>
                      <w:rPr>
                        <w:color w:val="EBEBEB" w:themeColor="background2"/>
                        <w:sz w:val="72"/>
                      </w:rPr>
                      <w:t>Bas-Rhin</w:t>
                    </w:r>
                  </w:p>
                  <w:p w14:paraId="243789E3" w14:textId="77777777" w:rsidR="00F96C4C" w:rsidRDefault="00F96C4C"/>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DF526"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7" type="#_x0000_t75" style="width:45.8pt;height:53.3pt" o:bullet="t">
        <v:imagedata r:id="rId1" o:title="Puce"/>
      </v:shape>
    </w:pict>
  </w:numPicBullet>
  <w:numPicBullet w:numPicBulletId="1">
    <w:pict>
      <v:shape id="_x0000_i1378" type="#_x0000_t75" style="width:45.8pt;height:53.3pt" o:bullet="t">
        <v:imagedata r:id="rId2" o:title="Puce_Bleue"/>
      </v:shape>
    </w:pict>
  </w:numPicBullet>
  <w:numPicBullet w:numPicBulletId="2">
    <w:pict>
      <v:shape id="_x0000_i1379"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4AB4"/>
    <w:rsid w:val="002D7D62"/>
    <w:rsid w:val="002E3C2A"/>
    <w:rsid w:val="002E6D32"/>
    <w:rsid w:val="002F2F2D"/>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5F4149"/>
    <w:rsid w:val="00612EBB"/>
    <w:rsid w:val="00614B9D"/>
    <w:rsid w:val="00616AB3"/>
    <w:rsid w:val="00624E94"/>
    <w:rsid w:val="00627883"/>
    <w:rsid w:val="006409FF"/>
    <w:rsid w:val="00651B32"/>
    <w:rsid w:val="006717BA"/>
    <w:rsid w:val="006823A5"/>
    <w:rsid w:val="00682B84"/>
    <w:rsid w:val="00682C24"/>
    <w:rsid w:val="00693835"/>
    <w:rsid w:val="0069738E"/>
    <w:rsid w:val="006A0470"/>
    <w:rsid w:val="006B5BF1"/>
    <w:rsid w:val="006C2426"/>
    <w:rsid w:val="006E3364"/>
    <w:rsid w:val="006E3D77"/>
    <w:rsid w:val="006E4612"/>
    <w:rsid w:val="00701C40"/>
    <w:rsid w:val="00707E89"/>
    <w:rsid w:val="00727C20"/>
    <w:rsid w:val="007332B0"/>
    <w:rsid w:val="007336EE"/>
    <w:rsid w:val="00733E22"/>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48EC"/>
    <w:rsid w:val="008763AB"/>
    <w:rsid w:val="00880656"/>
    <w:rsid w:val="00884872"/>
    <w:rsid w:val="00894625"/>
    <w:rsid w:val="008A31A3"/>
    <w:rsid w:val="008A580A"/>
    <w:rsid w:val="008D1E0B"/>
    <w:rsid w:val="008E037E"/>
    <w:rsid w:val="008E5AC2"/>
    <w:rsid w:val="008F0EDB"/>
    <w:rsid w:val="008F2F62"/>
    <w:rsid w:val="008F4A01"/>
    <w:rsid w:val="008F785E"/>
    <w:rsid w:val="009010B9"/>
    <w:rsid w:val="00903007"/>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66235"/>
    <w:rsid w:val="00A74ECB"/>
    <w:rsid w:val="00A85852"/>
    <w:rsid w:val="00A91250"/>
    <w:rsid w:val="00AA2A91"/>
    <w:rsid w:val="00AA3006"/>
    <w:rsid w:val="00AC24FB"/>
    <w:rsid w:val="00AD1584"/>
    <w:rsid w:val="00AE322E"/>
    <w:rsid w:val="00AF1924"/>
    <w:rsid w:val="00AF4CF8"/>
    <w:rsid w:val="00AF4F53"/>
    <w:rsid w:val="00B03C68"/>
    <w:rsid w:val="00B1721A"/>
    <w:rsid w:val="00B17FC6"/>
    <w:rsid w:val="00B317A5"/>
    <w:rsid w:val="00B40BCF"/>
    <w:rsid w:val="00B43915"/>
    <w:rsid w:val="00B469B7"/>
    <w:rsid w:val="00B478A9"/>
    <w:rsid w:val="00B47C08"/>
    <w:rsid w:val="00B54C56"/>
    <w:rsid w:val="00B567D3"/>
    <w:rsid w:val="00B65BA1"/>
    <w:rsid w:val="00B803B6"/>
    <w:rsid w:val="00B8067B"/>
    <w:rsid w:val="00B9007D"/>
    <w:rsid w:val="00B905D6"/>
    <w:rsid w:val="00BA249B"/>
    <w:rsid w:val="00BB15A0"/>
    <w:rsid w:val="00BC54FC"/>
    <w:rsid w:val="00BC557B"/>
    <w:rsid w:val="00BC6275"/>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70A0"/>
    <w:rsid w:val="00C44FBE"/>
    <w:rsid w:val="00C53C1A"/>
    <w:rsid w:val="00C54FC9"/>
    <w:rsid w:val="00C574AC"/>
    <w:rsid w:val="00C669AF"/>
    <w:rsid w:val="00C67E78"/>
    <w:rsid w:val="00C70325"/>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51AC6"/>
    <w:rsid w:val="00D5364D"/>
    <w:rsid w:val="00D5544D"/>
    <w:rsid w:val="00D83F43"/>
    <w:rsid w:val="00D97413"/>
    <w:rsid w:val="00DA6854"/>
    <w:rsid w:val="00DA7C0B"/>
    <w:rsid w:val="00DB2BA3"/>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60A0"/>
    <w:rsid w:val="00F769B3"/>
    <w:rsid w:val="00F80728"/>
    <w:rsid w:val="00F92C04"/>
    <w:rsid w:val="00F94669"/>
    <w:rsid w:val="00F96C4C"/>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Bas-Rhin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Bas-Rhin</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1"/>
              <c:layout>
                <c:manualLayout>
                  <c:x val="3.0748956731825091E-2"/>
                  <c:y val="-6.4712748138188454E-1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770-460C-86AD-E46C0F9CF05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75404</c:v>
                </c:pt>
                <c:pt idx="1">
                  <c:v>27394</c:v>
                </c:pt>
                <c:pt idx="2">
                  <c:v>358311</c:v>
                </c:pt>
                <c:pt idx="3">
                  <c:v>3539</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Bas-Rhin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0.6713218721145886</c:v>
                </c:pt>
                <c:pt idx="1">
                  <c:v>0.66968884167169485</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9.1775864675589652E-2</c:v>
                </c:pt>
                <c:pt idx="1">
                  <c:v>9.4385771681338507E-2</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7.7540198984360736E-2</c:v>
                </c:pt>
                <c:pt idx="1">
                  <c:v>7.9388067460344269E-2</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0.15936206422546095</c:v>
                </c:pt>
                <c:pt idx="1">
                  <c:v>0.15653731918662245</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Bas-Rhin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Bas-Rhin</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2438</c:v>
                </c:pt>
                <c:pt idx="1">
                  <c:v>3860</c:v>
                </c:pt>
                <c:pt idx="2">
                  <c:v>25682</c:v>
                </c:pt>
                <c:pt idx="3">
                  <c:v>176</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Bas-Rhin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77046</c:v>
                </c:pt>
                <c:pt idx="1">
                  <c:v>75404</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26815</c:v>
                </c:pt>
                <c:pt idx="1">
                  <c:v>27394</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359924</c:v>
                </c:pt>
                <c:pt idx="1">
                  <c:v>358311</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A-4EF4-93E3-BCA6A87BA969}"/>
                </c:ext>
              </c:extLst>
            </c:dLbl>
            <c:dLbl>
              <c:idx val="1"/>
              <c:layout>
                <c:manualLayout>
                  <c:x val="-0.15789473684210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A-4EF4-93E3-BCA6A87BA969}"/>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3421</c:v>
                </c:pt>
                <c:pt idx="1">
                  <c:v>3539</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467206</c:v>
                </c:pt>
                <c:pt idx="1">
                  <c:v>464648</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Bas-Rhin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141565.71367022011</c:v>
                </c:pt>
                <c:pt idx="1">
                  <c:v>141268.81100000002</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elete val="1"/>
          </c:dLbls>
          <c:cat>
            <c:numRef>
              <c:f>Synthèse!$F$246:$G$246</c:f>
              <c:numCache>
                <c:formatCode>General</c:formatCode>
                <c:ptCount val="2"/>
                <c:pt idx="0">
                  <c:v>2019</c:v>
                </c:pt>
                <c:pt idx="1">
                  <c:v>2020</c:v>
                </c:pt>
              </c:numCache>
            </c:numRef>
          </c:cat>
          <c:val>
            <c:numRef>
              <c:f>Synthèse!$F$248:$G$248</c:f>
              <c:numCache>
                <c:formatCode>#\ ###\ ##0_-\t</c:formatCode>
                <c:ptCount val="2"/>
                <c:pt idx="0">
                  <c:v>0.28999999999999998</c:v>
                </c:pt>
                <c:pt idx="1">
                  <c:v>0.14299999999999999</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184470.80845167415</c:v>
                </c:pt>
                <c:pt idx="1">
                  <c:v>159814.92728635127</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dLbl>
              <c:idx val="0"/>
              <c:layout>
                <c:manualLayout>
                  <c:x val="0"/>
                  <c:y val="1.44613159797542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41-4318-92C3-B335CFC7F057}"/>
                </c:ext>
              </c:extLst>
            </c:dLbl>
            <c:dLbl>
              <c:idx val="1"/>
              <c:layout>
                <c:manualLayout>
                  <c:x val="0"/>
                  <c:y val="1.08459869848156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41-4318-92C3-B335CFC7F05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16672.267824258259</c:v>
                </c:pt>
                <c:pt idx="1">
                  <c:v>13865.331983771079</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101043.022</c:v>
                </c:pt>
                <c:pt idx="1">
                  <c:v>81511.673999999999</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elete val="1"/>
          </c:dLbls>
          <c:cat>
            <c:numRef>
              <c:f>Synthèse!$F$246:$G$246</c:f>
              <c:numCache>
                <c:formatCode>General</c:formatCode>
                <c:ptCount val="2"/>
                <c:pt idx="0">
                  <c:v>2019</c:v>
                </c:pt>
                <c:pt idx="1">
                  <c:v>2020</c:v>
                </c:pt>
              </c:numCache>
            </c:numRef>
          </c:cat>
          <c:val>
            <c:numRef>
              <c:f>Synthèse!$F$252:$G$252</c:f>
              <c:numCache>
                <c:formatCode>#\ ###\ ##0_-\t</c:formatCode>
                <c:ptCount val="2"/>
                <c:pt idx="0">
                  <c:v>0</c:v>
                </c:pt>
                <c:pt idx="1">
                  <c:v>0</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Lbl>
              <c:idx val="0"/>
              <c:layout>
                <c:manualLayout>
                  <c:x val="7.8295926689772283E-2"/>
                  <c:y val="-6.77123602864221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8F3-48D2-BC40-4C2C7D60B7D3}"/>
                </c:ext>
              </c:extLst>
            </c:dLbl>
            <c:dLbl>
              <c:idx val="1"/>
              <c:layout>
                <c:manualLayout>
                  <c:x val="7.59931053165436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Synthèse!$F$253:$G$253</c:f>
              <c:numCache>
                <c:formatCode>#\ ###\ ##0_-\t</c:formatCode>
                <c:ptCount val="2"/>
                <c:pt idx="0">
                  <c:v>455.58100000000002</c:v>
                </c:pt>
                <c:pt idx="1">
                  <c:v>340.28100000000001</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69580.246567783528</c:v>
                </c:pt>
                <c:pt idx="1">
                  <c:v>72311.743378825835</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Lbl>
              <c:idx val="0"/>
              <c:layout>
                <c:manualLayout>
                  <c:x val="7.8295926689772241E-2"/>
                  <c:y val="-3.38561801432110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8F3-48D2-BC40-4C2C7D60B7D3}"/>
                </c:ext>
              </c:extLst>
            </c:dLbl>
            <c:dLbl>
              <c:idx val="1"/>
              <c:layout>
                <c:manualLayout>
                  <c:x val="7.5993105316543644E-2"/>
                  <c:y val="-3.38561801432110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Synthèse!$F$255:$G$255</c:f>
              <c:numCache>
                <c:formatCode>#\ ###\ ##0_-\t</c:formatCode>
                <c:ptCount val="2"/>
                <c:pt idx="0">
                  <c:v>755</c:v>
                </c:pt>
                <c:pt idx="1">
                  <c:v>602</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35245.949999999997</c:v>
                </c:pt>
                <c:pt idx="1">
                  <c:v>32755.163</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dLbl>
              <c:idx val="0"/>
              <c:layout>
                <c:manualLayout>
                  <c:x val="0.1037667323855971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41-4318-92C3-B335CFC7F057}"/>
                </c:ext>
              </c:extLst>
            </c:dLbl>
            <c:dLbl>
              <c:idx val="1"/>
              <c:layout>
                <c:manualLayout>
                  <c:x val="9.546539379474940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41-4318-92C3-B335CFC7F05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11289.278015000002</c:v>
                </c:pt>
                <c:pt idx="1">
                  <c:v>8478.9</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Lbl>
              <c:idx val="0"/>
              <c:layout>
                <c:manualLayout>
                  <c:x val="-9.259571255471243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8F3-48D2-BC40-4C2C7D60B7D3}"/>
                </c:ext>
              </c:extLst>
            </c:dLbl>
            <c:dLbl>
              <c:idx val="1"/>
              <c:layout>
                <c:manualLayout>
                  <c:x val="-8.8900146172192315E-2"/>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Synthèse!$F$246:$G$246</c:f>
              <c:numCache>
                <c:formatCode>General</c:formatCode>
                <c:ptCount val="2"/>
                <c:pt idx="0">
                  <c:v>2019</c:v>
                </c:pt>
                <c:pt idx="1">
                  <c:v>2020</c:v>
                </c:pt>
              </c:numCache>
            </c:numRef>
          </c:cat>
          <c:val>
            <c:numRef>
              <c:f>Synthèse!$F$258:$G$258</c:f>
              <c:numCache>
                <c:formatCode>#\ ###\ ##0_-\t</c:formatCode>
                <c:ptCount val="2"/>
                <c:pt idx="0">
                  <c:v>125.03</c:v>
                </c:pt>
                <c:pt idx="1">
                  <c:v>84</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561203.18752893608</c:v>
                </c:pt>
                <c:pt idx="1">
                  <c:v>511032.97464894823</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6"/>
        <c:delete val="1"/>
      </c:legendEntry>
      <c:legendEntry>
        <c:idx val="10"/>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Bas-Rhin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Synthèse!$H$293:$I$293</c:f>
              <c:numCache>
                <c:formatCode>0%</c:formatCode>
                <c:ptCount val="2"/>
                <c:pt idx="0">
                  <c:v>0.2608614397054409</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Lbl>
              <c:idx val="0"/>
              <c:layout>
                <c:manualLayout>
                  <c:x val="-7.6086829415018839E-17"/>
                  <c:y val="8.684546615581098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56-4E48-B72B-DD677EA7CC83}"/>
                </c:ext>
              </c:extLst>
            </c:dLbl>
            <c:dLbl>
              <c:idx val="1"/>
              <c:delete val="1"/>
              <c:extLst>
                <c:ext xmlns:c15="http://schemas.microsoft.com/office/drawing/2012/chart" uri="{CE6537A1-D6FC-4f65-9D91-7224C49458BB}"/>
                <c:ext xmlns:c16="http://schemas.microsoft.com/office/drawing/2014/chart" uri="{C3380CC4-5D6E-409C-BE32-E72D297353CC}">
                  <c16:uniqueId val="{00000000-A656-4E48-B72B-DD677EA7CC8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Synthèse!$H$294:$I$294</c:f>
              <c:numCache>
                <c:formatCode>0%</c:formatCode>
                <c:ptCount val="2"/>
                <c:pt idx="0">
                  <c:v>7.9691461796735589E-3</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Synthèse!$H$295:$I$295</c:f>
              <c:numCache>
                <c:formatCode>0%</c:formatCode>
                <c:ptCount val="2"/>
                <c:pt idx="0">
                  <c:v>0.30692490281975354</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Synthèse!$H$296:$I$296</c:f>
              <c:numCache>
                <c:formatCode>0%</c:formatCode>
                <c:ptCount val="2"/>
                <c:pt idx="0">
                  <c:v>2.6030602177604407E-2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Synthèse!$H$297:$I$297</c:f>
              <c:numCache>
                <c:formatCode>0%</c:formatCode>
                <c:ptCount val="2"/>
                <c:pt idx="0">
                  <c:v>0.15656769120245903</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Synthèse!$H$300:$I$300</c:f>
              <c:numCache>
                <c:formatCode>0%</c:formatCode>
                <c:ptCount val="2"/>
                <c:pt idx="0">
                  <c:v>0.13659252424524582</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layout>
                <c:manualLayout>
                  <c:x val="0"/>
                  <c:y val="8.34867896124684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Synthèse!$H$301:$I$301</c:f>
              <c:numCache>
                <c:formatCode>0.0%</c:formatCode>
                <c:ptCount val="2"/>
                <c:pt idx="0">
                  <c:v>1.1280053336897211E-3</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Synthèse!$H$302:$I$302</c:f>
              <c:numCache>
                <c:formatCode>0%</c:formatCode>
                <c:ptCount val="2"/>
                <c:pt idx="0">
                  <c:v>7.8850371171591327E-2</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Synthèse!$H$303:$I$303</c:f>
              <c:numCache>
                <c:formatCode>0%</c:formatCode>
                <c:ptCount val="2"/>
                <c:pt idx="0">
                  <c:v>2.2701124204372751E-2</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Bas-Rhin</c:v>
                </c:pt>
                <c:pt idx="1">
                  <c:v>Grand Est</c:v>
                </c:pt>
              </c:strCache>
            </c:strRef>
          </c:cat>
          <c:val>
            <c:numRef>
              <c:f>Synthèse!$H$304:$I$304</c:f>
              <c:numCache>
                <c:formatCode>0.0%</c:formatCode>
                <c:ptCount val="2"/>
                <c:pt idx="0">
                  <c:v>1.5819618987943866E-4</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Bas-Rhin</c:v>
                      </c:pt>
                      <c:pt idx="1">
                        <c:v>Grand Est</c:v>
                      </c:pt>
                    </c:strCache>
                  </c:strRef>
                </c:cat>
                <c:val>
                  <c:numRef>
                    <c:extLst>
                      <c:ext uri="{02D57815-91ED-43cb-92C2-25804820EDAC}">
                        <c15:formulaRef>
                          <c15:sqref>Synthèse!$H$298:$I$298</c15:sqref>
                        </c15:formulaRef>
                      </c:ext>
                    </c:extLst>
                    <c:numCache>
                      <c:formatCode>0.0%</c:formatCode>
                      <c:ptCount val="2"/>
                      <c:pt idx="0">
                        <c:v>1.4980922663426395E-3</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Bas-Rhin</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7.1790450394683771E-4</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Bas-Rhin</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Bas-Rhin</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0.66968884167169485</c:v>
                </c:pt>
                <c:pt idx="1">
                  <c:v>9.4385771681338507E-2</c:v>
                </c:pt>
                <c:pt idx="2">
                  <c:v>7.9388067460344269E-2</c:v>
                </c:pt>
                <c:pt idx="3">
                  <c:v>0.15653731918662245</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3.xml><?xml version="1.0" encoding="utf-8"?>
<ds:datastoreItem xmlns:ds="http://schemas.openxmlformats.org/officeDocument/2006/customXml" ds:itemID="{C0020386-8827-4A58-B63F-0F5A961E96B8}">
  <ds:schemaRefs>
    <ds:schemaRef ds:uri="http://schemas.microsoft.com/office/infopath/2007/PartnerControls"/>
    <ds:schemaRef ds:uri="4a3adf83-4159-48c2-b191-a10bc88d810d"/>
    <ds:schemaRef ds:uri="f62a26c4-aace-4fc9-80a7-ab28e1be8723"/>
    <ds:schemaRef ds:uri="http://www.w3.org/XML/1998/namespace"/>
    <ds:schemaRef ds:uri="http://schemas.microsoft.com/office/2006/documentManagement/types"/>
    <ds:schemaRef ds:uri="http://purl.org/dc/dcmitype/"/>
    <ds:schemaRef ds:uri="66095bee-5dc8-457d-bf6f-f80c5fc40eda"/>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849</Words>
  <Characters>4670</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4</cp:revision>
  <dcterms:created xsi:type="dcterms:W3CDTF">2022-08-05T13:23:00Z</dcterms:created>
  <dcterms:modified xsi:type="dcterms:W3CDTF">2022-08-22T12:14:00Z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