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547239B3" w:rsidR="00D5544D" w:rsidRPr="00D5544D" w:rsidRDefault="00DA7643"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 </w:t>
            </w:r>
            <w:r w:rsidR="00ED2F32">
              <w:rPr>
                <w:rFonts w:asciiTheme="majorHAnsi" w:hAnsiTheme="majorHAnsi"/>
                <w:color w:val="1598D9" w:themeColor="accent2"/>
                <w:sz w:val="36"/>
                <w:szCs w:val="36"/>
              </w:rPr>
              <w:t>A</w:t>
            </w:r>
            <w:r w:rsidR="00EB718A">
              <w:rPr>
                <w:rFonts w:asciiTheme="majorHAnsi" w:hAnsiTheme="majorHAnsi"/>
                <w:color w:val="1598D9" w:themeColor="accent2"/>
                <w:sz w:val="36"/>
                <w:szCs w:val="36"/>
              </w:rPr>
              <w:t>ube</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DA7643"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26354AA8">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202C2CA9" w:rsidR="00837091" w:rsidRDefault="008D4874" w:rsidP="008F2F62">
            <w:pPr>
              <w:pStyle w:val="Corpsdetexte"/>
              <w:spacing w:before="120" w:after="0"/>
              <w:jc w:val="center"/>
            </w:pPr>
            <w:r>
              <w:rPr>
                <w:noProof/>
              </w:rPr>
              <w:drawing>
                <wp:inline distT="0" distB="0" distL="0" distR="0" wp14:anchorId="59BA0C3C" wp14:editId="51744684">
                  <wp:extent cx="1468106"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6" cy="1252637"/>
                          </a:xfrm>
                          <a:prstGeom prst="rect">
                            <a:avLst/>
                          </a:prstGeom>
                        </pic:spPr>
                      </pic:pic>
                    </a:graphicData>
                  </a:graphic>
                </wp:inline>
              </w:drawing>
            </w:r>
          </w:p>
          <w:p w14:paraId="5FD54401" w14:textId="37B8E44F" w:rsidR="00A10FFA" w:rsidRPr="00A10FFA" w:rsidRDefault="00ED2F32" w:rsidP="00A10FFA">
            <w:pPr>
              <w:pStyle w:val="Corpsdetexte"/>
              <w:spacing w:before="120" w:after="0"/>
              <w:jc w:val="center"/>
              <w:rPr>
                <w:b/>
                <w:bCs/>
              </w:rPr>
            </w:pPr>
            <w:r>
              <w:rPr>
                <w:b/>
                <w:bCs/>
              </w:rPr>
              <w:t>A</w:t>
            </w:r>
            <w:r w:rsidR="00EB718A">
              <w:rPr>
                <w:b/>
                <w:bCs/>
              </w:rPr>
              <w:t>ube</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EB718A" w:rsidRPr="008F2F62" w14:paraId="5EC92056" w14:textId="77777777" w:rsidTr="00EB718A">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5F8532BB"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310 464 (+ 0,1 %)</w:t>
            </w:r>
          </w:p>
        </w:tc>
        <w:tc>
          <w:tcPr>
            <w:tcW w:w="907" w:type="dxa"/>
            <w:tcBorders>
              <w:top w:val="nil"/>
              <w:left w:val="nil"/>
              <w:bottom w:val="single" w:sz="4" w:space="0" w:color="D2D2D2"/>
              <w:right w:val="nil"/>
            </w:tcBorders>
            <w:shd w:val="clear" w:color="000000" w:fill="FFFFFF"/>
            <w:noWrap/>
            <w:vAlign w:val="center"/>
            <w:hideMark/>
          </w:tcPr>
          <w:p w14:paraId="13942E9A" w14:textId="2E22DC86"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5,6 %</w:t>
            </w:r>
          </w:p>
        </w:tc>
        <w:tc>
          <w:tcPr>
            <w:tcW w:w="1510" w:type="dxa"/>
            <w:vMerge w:val="restart"/>
            <w:tcBorders>
              <w:top w:val="nil"/>
              <w:left w:val="nil"/>
              <w:bottom w:val="nil"/>
              <w:right w:val="nil"/>
            </w:tcBorders>
            <w:shd w:val="clear" w:color="000000" w:fill="D9D9D9"/>
            <w:vAlign w:val="center"/>
            <w:hideMark/>
          </w:tcPr>
          <w:p w14:paraId="36CC82F7" w14:textId="641D4A12" w:rsidR="00EB718A" w:rsidRPr="008F2F62" w:rsidRDefault="00EB718A" w:rsidP="00EB718A">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EB718A" w:rsidRPr="008F2F62" w14:paraId="78CE9338" w14:textId="77777777" w:rsidTr="00EB718A">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72DCD5FF"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100 987 (+ 0,0 %)</w:t>
            </w:r>
          </w:p>
        </w:tc>
        <w:tc>
          <w:tcPr>
            <w:tcW w:w="907" w:type="dxa"/>
            <w:tcBorders>
              <w:top w:val="nil"/>
              <w:left w:val="nil"/>
              <w:bottom w:val="single" w:sz="4" w:space="0" w:color="D2D2D2"/>
              <w:right w:val="nil"/>
            </w:tcBorders>
            <w:shd w:val="clear" w:color="000000" w:fill="FFFFFF"/>
            <w:noWrap/>
            <w:vAlign w:val="center"/>
            <w:hideMark/>
          </w:tcPr>
          <w:p w14:paraId="11BB692E" w14:textId="3684B210"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5,2 %</w:t>
            </w:r>
          </w:p>
        </w:tc>
        <w:tc>
          <w:tcPr>
            <w:tcW w:w="1510" w:type="dxa"/>
            <w:vMerge/>
            <w:tcBorders>
              <w:top w:val="nil"/>
              <w:left w:val="nil"/>
              <w:bottom w:val="nil"/>
              <w:right w:val="nil"/>
            </w:tcBorders>
            <w:vAlign w:val="center"/>
            <w:hideMark/>
          </w:tcPr>
          <w:p w14:paraId="5DBEB910" w14:textId="77777777" w:rsidR="00EB718A" w:rsidRPr="008F2F62" w:rsidRDefault="00EB718A" w:rsidP="00EB718A">
            <w:pPr>
              <w:spacing w:line="240" w:lineRule="auto"/>
              <w:rPr>
                <w:rFonts w:ascii="Century Gothic" w:eastAsia="Times New Roman" w:hAnsi="Century Gothic" w:cs="Times New Roman"/>
                <w:b/>
                <w:bCs/>
                <w:color w:val="FFFFFF"/>
                <w:szCs w:val="20"/>
                <w:lang w:eastAsia="fr-FR"/>
              </w:rPr>
            </w:pPr>
          </w:p>
        </w:tc>
      </w:tr>
      <w:tr w:rsidR="00EB718A" w:rsidRPr="008F2F62" w14:paraId="6C3DD9D7" w14:textId="77777777" w:rsidTr="00EB718A">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45BAA7D1"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7 073 (- 0,8 %)</w:t>
            </w:r>
          </w:p>
        </w:tc>
        <w:tc>
          <w:tcPr>
            <w:tcW w:w="907" w:type="dxa"/>
            <w:tcBorders>
              <w:top w:val="nil"/>
              <w:left w:val="nil"/>
              <w:bottom w:val="single" w:sz="4" w:space="0" w:color="D2D2D2"/>
              <w:right w:val="nil"/>
            </w:tcBorders>
            <w:shd w:val="clear" w:color="000000" w:fill="FFFFFF"/>
            <w:noWrap/>
            <w:vAlign w:val="center"/>
            <w:hideMark/>
          </w:tcPr>
          <w:p w14:paraId="38A28D55" w14:textId="2CA6E370"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5,4 %</w:t>
            </w:r>
          </w:p>
        </w:tc>
        <w:tc>
          <w:tcPr>
            <w:tcW w:w="1510" w:type="dxa"/>
            <w:vMerge/>
            <w:tcBorders>
              <w:top w:val="nil"/>
              <w:left w:val="nil"/>
              <w:bottom w:val="nil"/>
              <w:right w:val="nil"/>
            </w:tcBorders>
            <w:vAlign w:val="center"/>
            <w:hideMark/>
          </w:tcPr>
          <w:p w14:paraId="4F14CE5E" w14:textId="77777777" w:rsidR="00EB718A" w:rsidRPr="008F2F62" w:rsidRDefault="00EB718A" w:rsidP="00EB718A">
            <w:pPr>
              <w:spacing w:line="240" w:lineRule="auto"/>
              <w:rPr>
                <w:rFonts w:ascii="Century Gothic" w:eastAsia="Times New Roman" w:hAnsi="Century Gothic" w:cs="Times New Roman"/>
                <w:b/>
                <w:bCs/>
                <w:color w:val="FFFFFF"/>
                <w:szCs w:val="20"/>
                <w:lang w:eastAsia="fr-FR"/>
              </w:rPr>
            </w:pPr>
          </w:p>
        </w:tc>
      </w:tr>
      <w:tr w:rsidR="00EB718A" w:rsidRPr="008F2F62" w14:paraId="340F9EA3" w14:textId="77777777" w:rsidTr="00EB718A">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7CF4BD2F"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246 096 (+ 0,0 %)</w:t>
            </w:r>
          </w:p>
        </w:tc>
        <w:tc>
          <w:tcPr>
            <w:tcW w:w="907" w:type="dxa"/>
            <w:tcBorders>
              <w:top w:val="nil"/>
              <w:left w:val="nil"/>
              <w:bottom w:val="single" w:sz="4" w:space="0" w:color="D2D2D2"/>
              <w:right w:val="nil"/>
            </w:tcBorders>
            <w:shd w:val="clear" w:color="000000" w:fill="FFFFFF"/>
            <w:noWrap/>
            <w:vAlign w:val="center"/>
            <w:hideMark/>
          </w:tcPr>
          <w:p w14:paraId="2B98A726" w14:textId="3B032A56"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5,0 %</w:t>
            </w:r>
          </w:p>
        </w:tc>
        <w:tc>
          <w:tcPr>
            <w:tcW w:w="1510" w:type="dxa"/>
            <w:vMerge/>
            <w:tcBorders>
              <w:top w:val="nil"/>
              <w:left w:val="nil"/>
              <w:bottom w:val="nil"/>
              <w:right w:val="nil"/>
            </w:tcBorders>
            <w:vAlign w:val="center"/>
            <w:hideMark/>
          </w:tcPr>
          <w:p w14:paraId="1A5117ED" w14:textId="77777777" w:rsidR="00EB718A" w:rsidRPr="008F2F62" w:rsidRDefault="00EB718A" w:rsidP="00EB718A">
            <w:pPr>
              <w:spacing w:line="240" w:lineRule="auto"/>
              <w:rPr>
                <w:rFonts w:ascii="Century Gothic" w:eastAsia="Times New Roman" w:hAnsi="Century Gothic" w:cs="Times New Roman"/>
                <w:b/>
                <w:bCs/>
                <w:color w:val="FFFFFF"/>
                <w:szCs w:val="20"/>
                <w:lang w:eastAsia="fr-FR"/>
              </w:rPr>
            </w:pPr>
          </w:p>
        </w:tc>
      </w:tr>
      <w:tr w:rsidR="00EB718A" w:rsidRPr="008F2F62" w14:paraId="7AA4AF07" w14:textId="77777777" w:rsidTr="00EB718A">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439FE0B6"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197 177 t</w:t>
            </w:r>
          </w:p>
        </w:tc>
        <w:tc>
          <w:tcPr>
            <w:tcW w:w="907" w:type="dxa"/>
            <w:tcBorders>
              <w:top w:val="nil"/>
              <w:left w:val="nil"/>
              <w:bottom w:val="single" w:sz="4" w:space="0" w:color="D2D2D2"/>
              <w:right w:val="nil"/>
            </w:tcBorders>
            <w:shd w:val="clear" w:color="000000" w:fill="FFFFFF"/>
            <w:noWrap/>
            <w:vAlign w:val="center"/>
            <w:hideMark/>
          </w:tcPr>
          <w:p w14:paraId="4B25611E" w14:textId="2DA792CA"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7,6 %</w:t>
            </w:r>
          </w:p>
        </w:tc>
        <w:tc>
          <w:tcPr>
            <w:tcW w:w="1510" w:type="dxa"/>
            <w:vMerge/>
            <w:tcBorders>
              <w:top w:val="nil"/>
              <w:left w:val="nil"/>
              <w:bottom w:val="nil"/>
              <w:right w:val="nil"/>
            </w:tcBorders>
            <w:vAlign w:val="center"/>
            <w:hideMark/>
          </w:tcPr>
          <w:p w14:paraId="740B901D" w14:textId="77777777" w:rsidR="00EB718A" w:rsidRPr="008F2F62" w:rsidRDefault="00EB718A" w:rsidP="00EB718A">
            <w:pPr>
              <w:spacing w:line="240" w:lineRule="auto"/>
              <w:rPr>
                <w:rFonts w:ascii="Century Gothic" w:eastAsia="Times New Roman" w:hAnsi="Century Gothic" w:cs="Times New Roman"/>
                <w:b/>
                <w:bCs/>
                <w:color w:val="FFFFFF"/>
                <w:szCs w:val="20"/>
                <w:lang w:eastAsia="fr-FR"/>
              </w:rPr>
            </w:pPr>
          </w:p>
        </w:tc>
      </w:tr>
      <w:tr w:rsidR="00EB718A" w:rsidRPr="008F2F62" w14:paraId="4CADD36E" w14:textId="77777777" w:rsidTr="00EB718A">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5D1CE83B"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59 %</w:t>
            </w:r>
          </w:p>
        </w:tc>
        <w:tc>
          <w:tcPr>
            <w:tcW w:w="907" w:type="dxa"/>
            <w:tcBorders>
              <w:top w:val="nil"/>
              <w:left w:val="nil"/>
              <w:bottom w:val="single" w:sz="4" w:space="0" w:color="D2D2D2"/>
              <w:right w:val="nil"/>
            </w:tcBorders>
            <w:shd w:val="clear" w:color="000000" w:fill="FFFFFF"/>
            <w:noWrap/>
            <w:vAlign w:val="center"/>
            <w:hideMark/>
          </w:tcPr>
          <w:p w14:paraId="5252CA16" w14:textId="3923F6F8"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EB718A" w:rsidRPr="008F2F62" w:rsidRDefault="00EB718A" w:rsidP="00EB718A">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EB718A" w:rsidRPr="008F2F62" w14:paraId="50CB4E74" w14:textId="77777777" w:rsidTr="00EB718A">
        <w:trPr>
          <w:trHeight w:val="270"/>
        </w:trPr>
        <w:tc>
          <w:tcPr>
            <w:tcW w:w="4706" w:type="dxa"/>
            <w:tcBorders>
              <w:top w:val="nil"/>
              <w:left w:val="nil"/>
              <w:bottom w:val="nil"/>
              <w:right w:val="nil"/>
            </w:tcBorders>
            <w:shd w:val="clear" w:color="000000" w:fill="FFFFFF"/>
            <w:noWrap/>
            <w:vAlign w:val="center"/>
            <w:hideMark/>
          </w:tcPr>
          <w:p w14:paraId="43950DBC" w14:textId="05127F27" w:rsidR="00EB718A" w:rsidRPr="008F2F62" w:rsidRDefault="00EB718A" w:rsidP="00EB718A">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59C520BB" w:rsidR="00EB718A" w:rsidRPr="00EB718A" w:rsidRDefault="00EB718A" w:rsidP="00EB718A">
            <w:pPr>
              <w:spacing w:line="240" w:lineRule="auto"/>
              <w:jc w:val="center"/>
              <w:rPr>
                <w:rFonts w:ascii="Century Gothic" w:eastAsia="Times New Roman" w:hAnsi="Century Gothic" w:cs="Times New Roman"/>
                <w:b/>
                <w:bCs/>
                <w:color w:val="1598D9" w:themeColor="accent2"/>
                <w:szCs w:val="20"/>
                <w:lang w:eastAsia="fr-FR"/>
              </w:rPr>
            </w:pPr>
            <w:r w:rsidRPr="00EB718A">
              <w:rPr>
                <w:b/>
                <w:bCs/>
                <w:color w:val="1598D9" w:themeColor="accent2"/>
              </w:rPr>
              <w:t>6 %</w:t>
            </w:r>
          </w:p>
        </w:tc>
        <w:tc>
          <w:tcPr>
            <w:tcW w:w="907" w:type="dxa"/>
            <w:tcBorders>
              <w:top w:val="nil"/>
              <w:left w:val="nil"/>
              <w:bottom w:val="nil"/>
              <w:right w:val="nil"/>
            </w:tcBorders>
            <w:shd w:val="clear" w:color="000000" w:fill="FFFFFF"/>
            <w:noWrap/>
            <w:vAlign w:val="center"/>
            <w:hideMark/>
          </w:tcPr>
          <w:p w14:paraId="5C8EDE1F" w14:textId="71F05928" w:rsidR="00EB718A" w:rsidRPr="00EB718A" w:rsidRDefault="00EB718A" w:rsidP="00EB718A">
            <w:pPr>
              <w:spacing w:line="240" w:lineRule="auto"/>
              <w:jc w:val="center"/>
              <w:rPr>
                <w:rFonts w:ascii="Century Gothic" w:eastAsia="Times New Roman" w:hAnsi="Century Gothic" w:cs="Times New Roman"/>
                <w:b/>
                <w:bCs/>
                <w:color w:val="005293" w:themeColor="accent1"/>
                <w:szCs w:val="20"/>
                <w:lang w:eastAsia="fr-FR"/>
              </w:rPr>
            </w:pPr>
            <w:r w:rsidRPr="00EB718A">
              <w:rPr>
                <w:b/>
                <w:bCs/>
                <w:color w:val="005293" w:themeColor="accent1"/>
              </w:rPr>
              <w:t>10 %</w:t>
            </w:r>
          </w:p>
        </w:tc>
        <w:tc>
          <w:tcPr>
            <w:tcW w:w="1510" w:type="dxa"/>
            <w:vMerge/>
            <w:tcBorders>
              <w:top w:val="nil"/>
              <w:left w:val="nil"/>
              <w:bottom w:val="nil"/>
              <w:right w:val="nil"/>
            </w:tcBorders>
            <w:vAlign w:val="center"/>
            <w:hideMark/>
          </w:tcPr>
          <w:p w14:paraId="6FEC216D" w14:textId="77777777" w:rsidR="00EB718A" w:rsidRPr="008F2F62" w:rsidRDefault="00EB718A" w:rsidP="00EB718A">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1C65E32D">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1F9C4A02">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49CFFBD4">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0BC8EC6C">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690402" w14:textId="70AB9C23" w:rsidR="002C6D1C" w:rsidRDefault="002C6D1C" w:rsidP="002C6D1C">
      <w:pPr>
        <w:pStyle w:val="Corpsdetexte"/>
      </w:pPr>
      <w:r>
        <w:rPr>
          <w:noProof/>
        </w:rPr>
        <w:lastRenderedPageBreak/>
        <w:drawing>
          <wp:anchor distT="0" distB="0" distL="114300" distR="114300" simplePos="0" relativeHeight="251658240" behindDoc="0" locked="0" layoutInCell="1" allowOverlap="1" wp14:anchorId="4DC33E20" wp14:editId="34A84599">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t>Le nombre de salariés sur le département est en légère baisse entre 2019 et 2020, ce qui peut en partie s’expliquer par la crise sanitaire de 2020, mais tient aussi d’une tendance plus long terme avec une baisse progressive depuis 2014.</w:t>
      </w:r>
    </w:p>
    <w:p w14:paraId="4D3DC810" w14:textId="610C6C1B" w:rsidR="002C6D1C" w:rsidRDefault="002C6D1C" w:rsidP="002C6D1C">
      <w:pPr>
        <w:pStyle w:val="Corpsdetexte"/>
      </w:pPr>
      <w:r>
        <w:t>Le</w:t>
      </w:r>
      <w:r w:rsidR="00122F21">
        <w:t xml:space="preserve"> nombre de</w:t>
      </w:r>
      <w:r>
        <w:t xml:space="preserve"> salariés de l’agriculture et du BTP sont </w:t>
      </w:r>
      <w:r w:rsidR="00EB718A">
        <w:t xml:space="preserve">stables ou </w:t>
      </w:r>
      <w:r>
        <w:t>en augmentation, mais reste</w:t>
      </w:r>
      <w:r w:rsidR="00EB718A">
        <w:t>nt</w:t>
      </w:r>
      <w:r>
        <w:t xml:space="preserve"> minoritaires au regard du tertiaire et de l'industrie.</w:t>
      </w: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24DF2415">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13D6C545"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 xml:space="preserve">e </w:t>
      </w:r>
      <w:r w:rsidR="00EB718A">
        <w:rPr>
          <w:b/>
          <w:bCs/>
          <w:noProof/>
        </w:rPr>
        <w:t>7</w:t>
      </w:r>
      <w:r w:rsidR="007774C7" w:rsidRPr="007774C7">
        <w:rPr>
          <w:b/>
          <w:bCs/>
          <w:noProof/>
        </w:rPr>
        <w:t> </w:t>
      </w:r>
      <w:r w:rsidR="00EB718A">
        <w:rPr>
          <w:b/>
          <w:bCs/>
          <w:noProof/>
        </w:rPr>
        <w:t>2</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20EF8911" w14:textId="6D36C2E0" w:rsidR="003A2A23" w:rsidRDefault="00FD4E8B" w:rsidP="003A2A23">
      <w:pPr>
        <w:pStyle w:val="Corpsdetexte"/>
        <w:rPr>
          <w:noProof/>
        </w:rPr>
      </w:pPr>
      <w:r>
        <w:t>La production de DAEndni</w:t>
      </w:r>
      <w:r w:rsidR="009D7D3D">
        <w:t xml:space="preserve"> sur le département</w:t>
      </w:r>
      <w:r>
        <w:t xml:space="preserve"> </w:t>
      </w:r>
      <w:r w:rsidR="009D7D3D">
        <w:t>était estimée à 2</w:t>
      </w:r>
      <w:r w:rsidR="008D4874">
        <w:t>54</w:t>
      </w:r>
      <w:r w:rsidR="009D7D3D">
        <w:t xml:space="preserve"> 000 t en 2019. </w:t>
      </w:r>
      <w:r w:rsidR="003A2A23">
        <w:rPr>
          <w:noProof/>
        </w:rPr>
        <w:t xml:space="preserve">En ajoutant les évolutions observées sur les tonnages de DAE assimilés aux déchets ménagers (- </w:t>
      </w:r>
      <w:r w:rsidR="00F72C87">
        <w:rPr>
          <w:noProof/>
        </w:rPr>
        <w:t>1 00</w:t>
      </w:r>
      <w:r w:rsidR="00083DF2">
        <w:rPr>
          <w:noProof/>
        </w:rPr>
        <w:t>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083DF2" w:rsidRPr="00083DF2">
        <w:rPr>
          <w:b/>
          <w:bCs/>
          <w:noProof/>
        </w:rPr>
        <w:t>2</w:t>
      </w:r>
      <w:r w:rsidR="00F72C87">
        <w:rPr>
          <w:b/>
          <w:bCs/>
          <w:noProof/>
        </w:rPr>
        <w:t>46</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30DFA731" w:rsidR="000D469F" w:rsidRDefault="000D469F" w:rsidP="00D134E0">
      <w:pPr>
        <w:pStyle w:val="Corpsdetexte"/>
      </w:pP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14ACFBEC"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D134E0">
        <w:rPr>
          <w:b/>
          <w:bCs/>
        </w:rPr>
        <w:t>1</w:t>
      </w:r>
      <w:r w:rsidR="00F72C87">
        <w:rPr>
          <w:b/>
          <w:bCs/>
        </w:rPr>
        <w:t>97</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4A248539">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40D7C786"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w:t>
      </w:r>
      <w:r w:rsidR="00F72C87">
        <w:t xml:space="preserve">. </w:t>
      </w:r>
      <w:r w:rsidR="00026AB8" w:rsidRPr="00026AB8">
        <w:t>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08E3F13A">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2BA9F405">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6C9155" w14:textId="77777777" w:rsidR="00F72C87" w:rsidRDefault="00F72C87" w:rsidP="008166BC">
      <w:pPr>
        <w:pStyle w:val="Corpsdetexte"/>
      </w:pPr>
      <w:r w:rsidRPr="00F72C87">
        <w:t>L’absence d’incinérateur sur le département explique la faible part de valorisation énergétique et la part importante d’enfouissement des DAEndni. La plus grande représentation des biodéchets et boues explique un taux de valorisation organique supérieur au taux régional.</w:t>
      </w:r>
    </w:p>
    <w:p w14:paraId="3B95C898" w14:textId="74A7CDE0" w:rsidR="008166BC" w:rsidRDefault="008166BC" w:rsidP="008166BC">
      <w:pPr>
        <w:pStyle w:val="Corpsdetexte"/>
      </w:pPr>
      <w:r>
        <w:rPr>
          <w:noProof/>
        </w:rPr>
        <w:drawing>
          <wp:anchor distT="0" distB="0" distL="114300" distR="114300" simplePos="0" relativeHeight="251659264" behindDoc="0" locked="0" layoutInCell="1" allowOverlap="1" wp14:anchorId="49B212A5" wp14:editId="32033544">
            <wp:simplePos x="0" y="0"/>
            <wp:positionH relativeFrom="margin">
              <wp:align>left</wp:align>
            </wp:positionH>
            <wp:positionV relativeFrom="paragraph">
              <wp:posOffset>11430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t xml:space="preserve">Entre 2019 et 2020, on note une tendance à la hausse sur la part de valorisation </w:t>
      </w:r>
      <w:r w:rsidR="00F72C87">
        <w:t>organique et sur la valorisation énergétique</w:t>
      </w:r>
      <w:r>
        <w:t xml:space="preserve">, au détriment de </w:t>
      </w:r>
      <w:r w:rsidR="00F72C87">
        <w:t>la valorisation matière et de l’élimination.</w:t>
      </w:r>
    </w:p>
    <w:p w14:paraId="1651033A" w14:textId="2A68628E" w:rsidR="008166BC" w:rsidRPr="00551F7F" w:rsidRDefault="008166BC" w:rsidP="008166BC">
      <w:pPr>
        <w:pStyle w:val="Corpsdetexte"/>
      </w:pPr>
      <w:r>
        <w:t xml:space="preserve">Cette tendance </w:t>
      </w:r>
      <w:r w:rsidR="00F72C87">
        <w:t xml:space="preserve">à la baisse sur l’élimination </w:t>
      </w:r>
      <w:r>
        <w:t xml:space="preserve">est observée à l’échelle régionale, ce qui pourrait s’expliquer par le fait que la réduction des tonnages de déchets produits aurait en priorité concerné des tonnages dirigés vers l’enfouissement. </w:t>
      </w:r>
      <w:r w:rsidRPr="008166BC">
        <w:t>Les analyses 2021 et 2022 permettront d’évaluer la pérennité de cette tendance, fortement impactée par le contexte sanitaire.</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70731C4F">
              <wp:simplePos x="0" y="0"/>
              <wp:positionH relativeFrom="page">
                <wp:align>right</wp:align>
              </wp:positionH>
              <wp:positionV relativeFrom="margin">
                <wp:align>top</wp:align>
              </wp:positionV>
              <wp:extent cx="720000" cy="6120000"/>
              <wp:effectExtent l="0" t="0" r="0" b="508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2AC17EC4" w:rsidR="002D7D62" w:rsidRPr="00DD2940" w:rsidRDefault="00825786" w:rsidP="002D7D62">
                          <w:pPr>
                            <w:rPr>
                              <w:color w:val="EBEBEB" w:themeColor="background2"/>
                              <w:sz w:val="72"/>
                            </w:rPr>
                          </w:pPr>
                          <w:r>
                            <w:rPr>
                              <w:color w:val="EBEBEB" w:themeColor="background2"/>
                              <w:sz w:val="72"/>
                            </w:rPr>
                            <w:t>Aube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2AC17EC4" w:rsidR="002D7D62" w:rsidRPr="00DD2940" w:rsidRDefault="00825786" w:rsidP="002D7D62">
                    <w:pPr>
                      <w:rPr>
                        <w:color w:val="EBEBEB" w:themeColor="background2"/>
                        <w:sz w:val="72"/>
                      </w:rPr>
                    </w:pPr>
                    <w:r>
                      <w:rPr>
                        <w:color w:val="EBEBEB" w:themeColor="background2"/>
                        <w:sz w:val="72"/>
                      </w:rPr>
                      <w:t>Aube</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5AB455"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45.8pt;height:53.3pt" o:bullet="t">
        <v:imagedata r:id="rId1" o:title="Puce"/>
      </v:shape>
    </w:pict>
  </w:numPicBullet>
  <w:numPicBullet w:numPicBulletId="1">
    <w:pict>
      <v:shape id="_x0000_i1195" type="#_x0000_t75" style="width:45.8pt;height:53.3pt" o:bullet="t">
        <v:imagedata r:id="rId2" o:title="Puce_Bleue"/>
      </v:shape>
    </w:pict>
  </w:numPicBullet>
  <w:numPicBullet w:numPicBulletId="2">
    <w:pict>
      <v:shape id="_x0000_i1196"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1265C"/>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22F21"/>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25786"/>
    <w:rsid w:val="00837091"/>
    <w:rsid w:val="008546B8"/>
    <w:rsid w:val="00860C74"/>
    <w:rsid w:val="00864F7C"/>
    <w:rsid w:val="008675AA"/>
    <w:rsid w:val="00870024"/>
    <w:rsid w:val="008763AB"/>
    <w:rsid w:val="00880656"/>
    <w:rsid w:val="00884872"/>
    <w:rsid w:val="00894625"/>
    <w:rsid w:val="008A31A3"/>
    <w:rsid w:val="008A580A"/>
    <w:rsid w:val="008D1E0B"/>
    <w:rsid w:val="008D4874"/>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5365F"/>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A6547"/>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643"/>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B718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2C87"/>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Aube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3.9534372940917994E-2"/>
                  <c:y val="-1.0589481115425344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15946</c:v>
                </c:pt>
                <c:pt idx="1">
                  <c:v>5943</c:v>
                </c:pt>
                <c:pt idx="2">
                  <c:v>76357</c:v>
                </c:pt>
                <c:pt idx="3">
                  <c:v>2741</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0.46052859659656403</c:v>
                </c:pt>
                <c:pt idx="1">
                  <c:v>0.39312533840870573</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0.15409316123430422</c:v>
                </c:pt>
                <c:pt idx="1">
                  <c:v>0.19358845669432664</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2.8526732283931967E-2</c:v>
                </c:pt>
                <c:pt idx="1">
                  <c:v>6.1791440913588264E-2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0.35685150988519981</c:v>
                </c:pt>
                <c:pt idx="1">
                  <c:v>0.35149476398337937</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Aube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650</c:v>
                </c:pt>
                <c:pt idx="1">
                  <c:v>933</c:v>
                </c:pt>
                <c:pt idx="2">
                  <c:v>5337</c:v>
                </c:pt>
                <c:pt idx="3">
                  <c:v>153</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312987934705465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16505</c:v>
                </c:pt>
                <c:pt idx="1">
                  <c:v>15946</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5910</c:v>
                </c:pt>
                <c:pt idx="1">
                  <c:v>5943</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77193</c:v>
                </c:pt>
                <c:pt idx="1">
                  <c:v>76357</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491228070175443"/>
                  <c:y val="-2.692088332973390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FC-4B7E-955B-2E468013A81B}"/>
                </c:ext>
              </c:extLst>
            </c:dLbl>
            <c:dLbl>
              <c:idx val="1"/>
              <c:layout>
                <c:manualLayout>
                  <c:x val="-0.16140350877192977"/>
                  <c:y val="-2.692088332973390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FC-4B7E-955B-2E468013A81B}"/>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2741</c:v>
                </c:pt>
                <c:pt idx="1">
                  <c:v>2741</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102349</c:v>
                </c:pt>
                <c:pt idx="1">
                  <c:v>100987</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71497.34</c:v>
                </c:pt>
                <c:pt idx="1">
                  <c:v>70684</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elete val="1"/>
          </c:dLbls>
          <c:cat>
            <c:numRef>
              <c:f>Synthèse!$F$246:$G$246</c:f>
              <c:numCache>
                <c:formatCode>General</c:formatCode>
                <c:ptCount val="2"/>
                <c:pt idx="0">
                  <c:v>2019</c:v>
                </c:pt>
                <c:pt idx="1">
                  <c:v>2020</c:v>
                </c:pt>
              </c:numCache>
            </c:numRef>
          </c:cat>
          <c:val>
            <c:numRef>
              <c:f>Synthèse!$F$248:$G$248</c:f>
              <c:numCache>
                <c:formatCode>#\ ###\ ##0_-\t</c:formatCode>
                <c:ptCount val="2"/>
                <c:pt idx="0">
                  <c:v>0</c:v>
                </c:pt>
                <c:pt idx="1">
                  <c:v>0</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37783.827126742923</c:v>
                </c:pt>
                <c:pt idx="1">
                  <c:v>31807.820250248908</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0"/>
                  <c:y val="1.08459869848156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6A-4406-BBE8-84D55137FEE0}"/>
                </c:ext>
              </c:extLst>
            </c:dLbl>
            <c:dLbl>
              <c:idx val="1"/>
              <c:layout>
                <c:manualLayout>
                  <c:x val="-7.6094724696684813E-17"/>
                  <c:y val="7.230657989877078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6A-4406-BBE8-84D55137FEE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4996.2956454887808</c:v>
                </c:pt>
                <c:pt idx="1">
                  <c:v>5013.5622994844107</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16845.97153972977</c:v>
                </c:pt>
                <c:pt idx="1">
                  <c:v>19102.379113800263</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Lbl>
              <c:idx val="0"/>
              <c:layout>
                <c:manualLayout>
                  <c:x val="-9.811136376449364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F3-48D2-BC40-4C2C7D60B7D3}"/>
                </c:ext>
              </c:extLst>
            </c:dLbl>
            <c:dLbl>
              <c:idx val="1"/>
              <c:layout>
                <c:manualLayout>
                  <c:x val="-9.60360291167816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Synthèse!$F$252:$G$252</c:f>
              <c:numCache>
                <c:formatCode>#\ ###\ ##0_-\t</c:formatCode>
                <c:ptCount val="2"/>
                <c:pt idx="0">
                  <c:v>170.11</c:v>
                </c:pt>
                <c:pt idx="1">
                  <c:v>180.86</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Lbl>
              <c:idx val="0"/>
              <c:layout>
                <c:manualLayout>
                  <c:x val="7.8295926689772283E-2"/>
                  <c:y val="-6.77123602864221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3-48D2-BC40-4C2C7D60B7D3}"/>
                </c:ext>
              </c:extLst>
            </c:dLbl>
            <c:dLbl>
              <c:idx val="1"/>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Synthèse!$F$253:$G$253</c:f>
              <c:numCache>
                <c:formatCode>#\ ###\ ##0_-\t</c:formatCode>
                <c:ptCount val="2"/>
                <c:pt idx="0">
                  <c:v>7</c:v>
                </c:pt>
                <c:pt idx="1">
                  <c:v>5</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15880.478680867056</c:v>
                </c:pt>
                <c:pt idx="1">
                  <c:v>15697.510729902655</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10438.699999999999</c:v>
                </c:pt>
                <c:pt idx="1">
                  <c:v>8486.73</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6915.22</c:v>
                </c:pt>
                <c:pt idx="1">
                  <c:v>6378.95</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elete val="1"/>
          </c:dLbls>
          <c:cat>
            <c:numRef>
              <c:f>Synthèse!$F$246:$G$246</c:f>
              <c:numCache>
                <c:formatCode>General</c:formatCode>
                <c:ptCount val="2"/>
                <c:pt idx="0">
                  <c:v>2019</c:v>
                </c:pt>
                <c:pt idx="1">
                  <c:v>2020</c:v>
                </c:pt>
              </c:numCache>
            </c:numRef>
          </c:cat>
          <c:val>
            <c:numRef>
              <c:f>Synthèse!$F$258:$G$258</c:f>
              <c:numCache>
                <c:formatCode>#\ ###\ ##0_-\t</c:formatCode>
                <c:ptCount val="2"/>
                <c:pt idx="0">
                  <c:v>0</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164534.94299282852</c:v>
                </c:pt>
                <c:pt idx="1">
                  <c:v>157356.81239343627</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0"/>
        <c:delete val="1"/>
      </c:legendEntry>
      <c:legendEntry>
        <c:idx val="3"/>
        <c:delete val="1"/>
      </c:legendEntry>
      <c:legendEntry>
        <c:idx val="10"/>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Synthèse!$H$293:$I$293</c:f>
              <c:numCache>
                <c:formatCode>0%</c:formatCode>
                <c:ptCount val="2"/>
                <c:pt idx="0">
                  <c:v>0.43540709491596508</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Aube</c:v>
                </c:pt>
                <c:pt idx="1">
                  <c:v>Grand Est</c:v>
                </c:pt>
              </c:strCache>
            </c:strRef>
          </c:cat>
          <c:val>
            <c:numRef>
              <c:f>Synthèse!$H$294:$I$294</c:f>
              <c:numCache>
                <c:formatCode>0%</c:formatCode>
                <c:ptCount val="2"/>
                <c:pt idx="0">
                  <c:v>0</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Synthèse!$H$295:$I$295</c:f>
              <c:numCache>
                <c:formatCode>0%</c:formatCode>
                <c:ptCount val="2"/>
                <c:pt idx="0">
                  <c:v>0.16140250913416157</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Synthèse!$H$296:$I$296</c:f>
              <c:numCache>
                <c:formatCode>0%</c:formatCode>
                <c:ptCount val="2"/>
                <c:pt idx="0">
                  <c:v>2.54267286802052E-2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Synthèse!$H$297:$I$297</c:f>
              <c:numCache>
                <c:formatCode>0%</c:formatCode>
                <c:ptCount val="2"/>
                <c:pt idx="0">
                  <c:v>0.10568369957551811</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Synthèse!$H$300:$I$300</c:f>
              <c:numCache>
                <c:formatCode>0%</c:formatCode>
                <c:ptCount val="2"/>
                <c:pt idx="0">
                  <c:v>8.5406023379089216E-2</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Synthèse!$H$302:$I$302</c:f>
              <c:numCache>
                <c:formatCode>0%</c:formatCode>
                <c:ptCount val="2"/>
                <c:pt idx="0">
                  <c:v>0.14140204719430932</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Synthèse!$H$303:$I$303</c:f>
              <c:numCache>
                <c:formatCode>0%</c:formatCode>
                <c:ptCount val="2"/>
                <c:pt idx="0">
                  <c:v>4.1524296320266725E-2</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layout>
                <c:manualLayout>
                  <c:x val="0"/>
                  <c:y val="8.348678961246848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Aube</c:v>
                </c:pt>
                <c:pt idx="1">
                  <c:v>Grand Est</c:v>
                </c:pt>
              </c:strCache>
            </c:strRef>
          </c:cat>
          <c:val>
            <c:numRef>
              <c:f>Synthèse!$H$304:$I$304</c:f>
              <c:numCache>
                <c:formatCode>0.0%</c:formatCode>
                <c:ptCount val="2"/>
                <c:pt idx="0">
                  <c:v>2.7437297861852943E-3</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Aube</c:v>
                      </c:pt>
                      <c:pt idx="1">
                        <c:v>Grand Est</c:v>
                      </c:pt>
                    </c:strCache>
                  </c:strRef>
                </c:cat>
                <c:val>
                  <c:numRef>
                    <c:extLst>
                      <c:ext uri="{02D57815-91ED-43cb-92C2-25804820EDAC}">
                        <c15:formulaRef>
                          <c15:sqref>Synthèse!$H$298:$I$298</c15:sqref>
                        </c15:formulaRef>
                      </c:ext>
                    </c:extLst>
                    <c:numCache>
                      <c:formatCode>0.0%</c:formatCode>
                      <c:ptCount val="2"/>
                      <c:pt idx="0">
                        <c:v>9.1724763240198207E-4</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Aube</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8.6623381897488162E-5</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Aube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Aube</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0.39312533840870573</c:v>
                </c:pt>
                <c:pt idx="1">
                  <c:v>0.19358845669432664</c:v>
                </c:pt>
                <c:pt idx="2">
                  <c:v>6.1791440913588264E-2</c:v>
                </c:pt>
                <c:pt idx="3">
                  <c:v>0.35149476398337937</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3.xml><?xml version="1.0" encoding="utf-8"?>
<ds:datastoreItem xmlns:ds="http://schemas.openxmlformats.org/officeDocument/2006/customXml" ds:itemID="{C0020386-8827-4A58-B63F-0F5A961E96B8}">
  <ds:schemaRefs>
    <ds:schemaRef ds:uri="http://schemas.microsoft.com/office/2006/metadata/properties"/>
    <ds:schemaRef ds:uri="http://purl.org/dc/elements/1.1/"/>
    <ds:schemaRef ds:uri="f62a26c4-aace-4fc9-80a7-ab28e1be8723"/>
    <ds:schemaRef ds:uri="http://www.w3.org/XML/1998/namespace"/>
    <ds:schemaRef ds:uri="http://purl.org/dc/terms/"/>
    <ds:schemaRef ds:uri="http://schemas.microsoft.com/office/infopath/2007/PartnerControls"/>
    <ds:schemaRef ds:uri="http://schemas.microsoft.com/office/2006/documentManagement/types"/>
    <ds:schemaRef ds:uri="66095bee-5dc8-457d-bf6f-f80c5fc40eda"/>
    <ds:schemaRef ds:uri="4a3adf83-4159-48c2-b191-a10bc88d810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7</cp:revision>
  <dcterms:created xsi:type="dcterms:W3CDTF">2022-08-05T11:30:00Z</dcterms:created>
  <dcterms:modified xsi:type="dcterms:W3CDTF">2022-08-22T12:13:00Z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